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rPr>
          <w:rFonts w:ascii="Times New Roman" w:hAnsi="Times New Roman" w:cs="Times New Roman"/>
          <w:b/>
          <w:bCs/>
        </w:rPr>
      </w:pPr>
      <w:r>
        <w:rPr>
          <w:rFonts w:ascii="Times New Roman" w:hAnsi="Times New Roman" w:cs="Times New Roman"/>
          <w:b/>
          <w:bCs/>
        </w:rPr>
        <w:t>3GPP TSG</w:t>
      </w:r>
      <w:r>
        <w:rPr>
          <w:rFonts w:hint="eastAsia" w:ascii="Times New Roman" w:hAnsi="Times New Roman" w:cs="Times New Roman"/>
          <w:b/>
          <w:bCs/>
          <w:lang w:eastAsia="zh-CN"/>
        </w:rPr>
        <w:t xml:space="preserve"> </w:t>
      </w:r>
      <w:r>
        <w:rPr>
          <w:rFonts w:ascii="Times New Roman" w:hAnsi="Times New Roman" w:cs="Times New Roman"/>
          <w:b/>
          <w:bCs/>
        </w:rPr>
        <w:t>RAN WG1 #11</w:t>
      </w:r>
      <w:r>
        <w:rPr>
          <w:rFonts w:ascii="Times New Roman" w:hAnsi="Times New Roman" w:cs="Times New Roman"/>
          <w:b/>
          <w:bCs/>
          <w:lang w:eastAsia="zh-CN"/>
        </w:rPr>
        <w:t>2</w:t>
      </w:r>
      <w:r>
        <w:rPr>
          <w:rFonts w:ascii="Times New Roman" w:hAnsi="Times New Roman" w:cs="Times New Roman"/>
          <w:b/>
          <w:bCs/>
        </w:rPr>
        <w:t xml:space="preserve">                                                R1-2300</w:t>
      </w:r>
      <w:r>
        <w:rPr>
          <w:rFonts w:ascii="Times New Roman" w:hAnsi="Times New Roman" w:cs="Times New Roman"/>
          <w:b/>
          <w:bCs/>
          <w:lang w:eastAsia="zh-CN"/>
        </w:rPr>
        <w:t>839</w:t>
      </w:r>
      <w:r>
        <w:rPr>
          <w:rFonts w:ascii="Times New Roman" w:hAnsi="Times New Roman" w:cs="Times New Roman"/>
          <w:b/>
          <w:bCs/>
        </w:rPr>
        <w:t xml:space="preserve">                                                                                     </w:t>
      </w:r>
    </w:p>
    <w:p>
      <w:pPr>
        <w:pStyle w:val="80"/>
        <w:jc w:val="both"/>
        <w:rPr>
          <w:rFonts w:ascii="Times New Roman" w:hAnsi="Times New Roman" w:eastAsia="宋体" w:cs="Times New Roman"/>
          <w:b/>
          <w:bCs/>
          <w:lang w:eastAsia="zh-CN"/>
        </w:rPr>
      </w:pPr>
      <w:r>
        <w:rPr>
          <w:rFonts w:ascii="Times New Roman" w:hAnsi="Times New Roman" w:eastAsia="MS Mincho" w:cs="Times New Roman"/>
          <w:b/>
          <w:bCs/>
          <w:lang w:eastAsia="ja-JP"/>
        </w:rPr>
        <w:t>Meeting</w:t>
      </w:r>
      <w:r>
        <w:rPr>
          <w:rFonts w:ascii="Times New Roman" w:hAnsi="Times New Roman" w:cs="Times New Roman"/>
          <w:b/>
          <w:bCs/>
        </w:rPr>
        <w:t xml:space="preserve">, </w:t>
      </w:r>
      <w:r>
        <w:rPr>
          <w:rFonts w:hint="eastAsia" w:ascii="Times New Roman" w:hAnsi="Times New Roman" w:cs="Times New Roman"/>
          <w:b/>
          <w:bCs/>
          <w:lang w:eastAsia="zh-CN"/>
        </w:rPr>
        <w:t>Athens</w:t>
      </w:r>
      <w:r>
        <w:rPr>
          <w:rFonts w:ascii="Times New Roman" w:hAnsi="Times New Roman" w:eastAsia="MS Mincho" w:cs="Times New Roman"/>
          <w:b/>
          <w:bCs/>
          <w:lang w:eastAsia="ja-JP"/>
        </w:rPr>
        <w:t xml:space="preserve">, </w:t>
      </w:r>
      <w:r>
        <w:rPr>
          <w:rFonts w:hint="eastAsia" w:ascii="Times New Roman" w:hAnsi="Times New Roman" w:eastAsia="宋体" w:cs="Times New Roman"/>
          <w:b/>
          <w:bCs/>
          <w:lang w:eastAsia="zh-CN"/>
        </w:rPr>
        <w:t>Greece</w:t>
      </w:r>
      <w:r>
        <w:rPr>
          <w:rFonts w:ascii="Times New Roman" w:hAnsi="Times New Roman" w:cs="Times New Roman"/>
          <w:b/>
          <w:bCs/>
        </w:rPr>
        <w:t xml:space="preserve">, </w:t>
      </w:r>
      <w:r>
        <w:rPr>
          <w:rFonts w:ascii="Times New Roman" w:hAnsi="Times New Roman" w:cs="Times New Roman"/>
          <w:b/>
          <w:bCs/>
          <w:lang w:eastAsia="zh-CN"/>
        </w:rPr>
        <w:t>Feb</w:t>
      </w:r>
      <w:r>
        <w:rPr>
          <w:rFonts w:hint="eastAsia" w:ascii="Times New Roman" w:hAnsi="Times New Roman" w:cs="Times New Roman"/>
          <w:b/>
          <w:bCs/>
          <w:lang w:eastAsia="zh-CN"/>
        </w:rPr>
        <w:t>ruary</w:t>
      </w:r>
      <w:r>
        <w:rPr>
          <w:rFonts w:ascii="Times New Roman" w:hAnsi="Times New Roman" w:eastAsia="Calibri" w:cs="Times New Roman"/>
          <w:b/>
          <w:bCs/>
        </w:rPr>
        <w:t xml:space="preserve"> </w:t>
      </w:r>
      <w:r>
        <w:rPr>
          <w:rFonts w:hint="eastAsia" w:ascii="Times New Roman" w:hAnsi="Times New Roman" w:eastAsia="宋体" w:cs="Times New Roman"/>
          <w:b/>
          <w:bCs/>
          <w:lang w:eastAsia="zh-CN"/>
        </w:rPr>
        <w:t>27th</w:t>
      </w:r>
      <w:r>
        <w:rPr>
          <w:rFonts w:ascii="Times New Roman" w:hAnsi="Times New Roman" w:eastAsia="Calibri" w:cs="Times New Roman"/>
          <w:b/>
          <w:bCs/>
        </w:rPr>
        <w:t xml:space="preserve"> – </w:t>
      </w:r>
      <w:r>
        <w:rPr>
          <w:rFonts w:hint="eastAsia" w:ascii="Times New Roman" w:hAnsi="Times New Roman" w:eastAsia="宋体" w:cs="Times New Roman"/>
          <w:b/>
          <w:bCs/>
          <w:lang w:eastAsia="zh-CN"/>
        </w:rPr>
        <w:t>March 3rd</w:t>
      </w:r>
      <w:r>
        <w:rPr>
          <w:rFonts w:ascii="Times New Roman" w:hAnsi="Times New Roman" w:eastAsia="Calibri" w:cs="Times New Roman"/>
          <w:b/>
          <w:bCs/>
        </w:rPr>
        <w:t>, 202</w:t>
      </w:r>
      <w:r>
        <w:rPr>
          <w:rFonts w:ascii="Times New Roman" w:hAnsi="Times New Roman" w:eastAsia="宋体" w:cs="Times New Roman"/>
          <w:b/>
          <w:bCs/>
          <w:lang w:eastAsia="zh-CN"/>
        </w:rPr>
        <w:t>3</w:t>
      </w:r>
    </w:p>
    <w:p>
      <w:pPr>
        <w:tabs>
          <w:tab w:val="right" w:pos="9360"/>
        </w:tabs>
        <w:spacing w:after="0"/>
        <w:jc w:val="both"/>
        <w:rPr>
          <w:rFonts w:ascii="Times New Roman" w:hAnsi="Times New Roman" w:eastAsia="MS Mincho" w:cs="Times New Roman"/>
          <w:b/>
        </w:rPr>
      </w:pPr>
      <w:bookmarkStart w:id="0" w:name="OLE_LINK33"/>
      <w:bookmarkStart w:id="1" w:name="OLE_LINK34"/>
    </w:p>
    <w:p>
      <w:pPr>
        <w:pStyle w:val="49"/>
        <w:tabs>
          <w:tab w:val="clear" w:pos="4536"/>
        </w:tabs>
        <w:jc w:val="both"/>
        <w:rPr>
          <w:rFonts w:ascii="Times New Roman" w:hAnsi="Times New Roman" w:cs="Times New Roman"/>
          <w:szCs w:val="22"/>
        </w:rPr>
      </w:pPr>
      <w:r>
        <w:rPr>
          <w:rFonts w:ascii="Times New Roman" w:hAnsi="Times New Roman" w:cs="Times New Roman"/>
          <w:szCs w:val="22"/>
        </w:rPr>
        <w:t>Source:          TCL Communication</w:t>
      </w:r>
    </w:p>
    <w:p>
      <w:pPr>
        <w:pStyle w:val="49"/>
        <w:tabs>
          <w:tab w:val="clear" w:pos="4536"/>
        </w:tabs>
        <w:jc w:val="both"/>
        <w:rPr>
          <w:rFonts w:ascii="Times New Roman" w:hAnsi="Times New Roman" w:cs="Times New Roman"/>
          <w:szCs w:val="22"/>
        </w:rPr>
      </w:pPr>
      <w:r>
        <w:rPr>
          <w:rFonts w:ascii="Times New Roman" w:hAnsi="Times New Roman" w:cs="Times New Roman"/>
          <w:szCs w:val="22"/>
        </w:rPr>
        <w:t>Title:            Discussion on XR specific capacity enhancement techniques</w:t>
      </w:r>
    </w:p>
    <w:p>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9.10.1</w:t>
      </w:r>
    </w:p>
    <w:p>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rPr>
      </w:pP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22"/>
          <w:szCs w:val="22"/>
        </w:rPr>
      </w:pPr>
      <w:r>
        <w:rPr>
          <w:rFonts w:ascii="Times New Roman" w:hAnsi="Times New Roman" w:eastAsia="黑体" w:cs="Times New Roman"/>
          <w:b/>
          <w:bCs/>
          <w:color w:val="auto"/>
          <w:sz w:val="22"/>
          <w:szCs w:val="22"/>
        </w:rPr>
        <w:t>Introduction</w:t>
      </w:r>
    </w:p>
    <w:p>
      <w:pPr>
        <w:widowControl w:val="0"/>
        <w:spacing w:after="120"/>
        <w:jc w:val="both"/>
        <w:rPr>
          <w:rFonts w:ascii="Times New Roman" w:hAnsi="Times New Roman" w:cs="Times New Roman"/>
          <w:lang w:eastAsia="zh-CN"/>
        </w:rPr>
      </w:pP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 #</w:t>
      </w:r>
      <w:r>
        <w:rPr>
          <w:rFonts w:ascii="Times New Roman" w:hAnsi="Times New Roman" w:cs="Times New Roman"/>
          <w:lang w:eastAsia="zh-CN"/>
        </w:rPr>
        <w:t>98e-</w:t>
      </w:r>
      <w:r>
        <w:rPr>
          <w:rFonts w:ascii="Times New Roman" w:hAnsi="Times New Roman" w:cs="Times New Roman"/>
        </w:rPr>
        <w:t xml:space="preserve">meeting [1], </w:t>
      </w:r>
      <w:r>
        <w:rPr>
          <w:rFonts w:ascii="Times New Roman" w:hAnsi="Times New Roman" w:cs="Times New Roman"/>
          <w:lang w:eastAsia="zh-CN"/>
        </w:rPr>
        <w:t>the WID for XR capacity enhancement has been approved</w:t>
      </w:r>
      <w:r>
        <w:rPr>
          <w:rFonts w:ascii="Times New Roman" w:hAnsi="Times New Roman" w:cs="Times New Roman"/>
        </w:rPr>
        <w:t xml:space="preserve">, and </w:t>
      </w:r>
      <w:r>
        <w:rPr>
          <w:rFonts w:ascii="Times New Roman" w:hAnsi="Times New Roman" w:cs="Times New Roman"/>
          <w:lang w:eastAsia="zh-CN"/>
        </w:rPr>
        <w:t>the scopes for XR were shown in the following</w:t>
      </w:r>
      <w:r>
        <w:rPr>
          <w:rFonts w:ascii="Times New Roman" w:hAnsi="Times New Roman" w:cs="Times New Roma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pPr>
              <w:overflowPunct w:val="0"/>
              <w:autoSpaceDE w:val="0"/>
              <w:autoSpaceDN w:val="0"/>
              <w:adjustRightInd w:val="0"/>
              <w:spacing w:after="180"/>
              <w:jc w:val="both"/>
              <w:rPr>
                <w:rFonts w:ascii="Times New Roman" w:hAnsi="Times New Roman" w:cs="Times New Roman"/>
              </w:rPr>
            </w:pPr>
            <w:r>
              <w:rPr>
                <w:rFonts w:ascii="Times New Roman" w:hAnsi="Times New Roman" w:eastAsia="等线" w:cs="Times New Roman"/>
                <w:lang w:eastAsia="zh-CN" w:bidi="ar"/>
              </w:rPr>
              <w:t>Specify the enhancements related to power saving:</w:t>
            </w:r>
          </w:p>
          <w:p>
            <w:pPr>
              <w:pStyle w:val="63"/>
              <w:overflowPunct w:val="0"/>
              <w:autoSpaceDE w:val="0"/>
              <w:autoSpaceDN w:val="0"/>
              <w:adjustRightInd w:val="0"/>
              <w:spacing w:before="0" w:beforeAutospacing="0" w:after="180" w:afterAutospacing="0"/>
              <w:ind w:left="568"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DRX support of XR frame rates corresponding to non-integer periodicities (through at least semi-static mechanisms e.g. RRC signalling) (RAN2).</w:t>
            </w:r>
          </w:p>
          <w:p>
            <w:pPr>
              <w:overflowPunct w:val="0"/>
              <w:autoSpaceDE w:val="0"/>
              <w:autoSpaceDN w:val="0"/>
              <w:adjustRightInd w:val="0"/>
              <w:spacing w:after="180"/>
              <w:jc w:val="both"/>
              <w:rPr>
                <w:rFonts w:ascii="Times New Roman" w:hAnsi="Times New Roman" w:cs="Times New Roman"/>
              </w:rPr>
            </w:pPr>
            <w:r>
              <w:rPr>
                <w:rFonts w:ascii="Times New Roman" w:hAnsi="Times New Roman" w:eastAsia="等线" w:cs="Times New Roman"/>
                <w:lang w:eastAsia="zh-CN" w:bidi="ar"/>
              </w:rPr>
              <w:t>Specify the enhancements related to capacity:</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Multiple CG PUSCH transmission occasions in a period of a single CG PUSCH configuration (RAN1,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Dynamic indication of unused CG PUSCH occasion(s) based on UCI by the UE (RAN1);</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BSR enhancements including at least new BS Table(s);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Delay reporting of buffered data in uplink;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Provision of XR traffic assistance information for DL and UL (e.g. periodicity); (RAN2);</w:t>
            </w:r>
          </w:p>
          <w:p>
            <w:pPr>
              <w:pStyle w:val="63"/>
              <w:overflowPunct w:val="0"/>
              <w:autoSpaceDE w:val="0"/>
              <w:autoSpaceDN w:val="0"/>
              <w:adjustRightInd w:val="0"/>
              <w:spacing w:before="0" w:beforeAutospacing="0" w:after="180" w:afterAutospacing="0"/>
              <w:ind w:left="851" w:hanging="284"/>
              <w:jc w:val="both"/>
              <w:rPr>
                <w:rFonts w:eastAsia="等线"/>
                <w:sz w:val="22"/>
                <w:szCs w:val="22"/>
                <w:lang w:val="en-US" w:eastAsia="zh-CN" w:bidi="ar"/>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Discard operation of PDU Sets (RAN2);</w:t>
            </w:r>
          </w:p>
          <w:p>
            <w:pPr>
              <w:pStyle w:val="63"/>
              <w:overflowPunct w:val="0"/>
              <w:autoSpaceDE w:val="0"/>
              <w:autoSpaceDN w:val="0"/>
              <w:adjustRightInd w:val="0"/>
              <w:spacing w:before="0" w:beforeAutospacing="0" w:after="180" w:afterAutospacing="0"/>
              <w:ind w:left="851" w:hanging="284"/>
              <w:jc w:val="both"/>
              <w:rPr>
                <w:rFonts w:eastAsia="等线"/>
                <w:sz w:val="22"/>
                <w:szCs w:val="22"/>
                <w:lang w:val="en-US" w:eastAsia="zh-CN" w:bidi="ar"/>
              </w:rPr>
            </w:pPr>
          </w:p>
          <w:p>
            <w:pPr>
              <w:pStyle w:val="63"/>
              <w:overflowPunct w:val="0"/>
              <w:autoSpaceDE w:val="0"/>
              <w:autoSpaceDN w:val="0"/>
              <w:adjustRightInd w:val="0"/>
              <w:spacing w:before="0" w:beforeAutospacing="0" w:after="180" w:afterAutospacing="0"/>
              <w:ind w:left="568" w:hanging="284"/>
              <w:jc w:val="both"/>
              <w:rPr>
                <w:sz w:val="22"/>
                <w:szCs w:val="22"/>
                <w:lang w:eastAsia="en-GB"/>
              </w:rPr>
            </w:pPr>
            <w:r>
              <w:rPr>
                <w:rFonts w:eastAsia="等线"/>
                <w:sz w:val="22"/>
                <w:szCs w:val="22"/>
                <w:lang w:val="en-US" w:eastAsia="zh-CN" w:bidi="ar"/>
              </w:rPr>
              <w:t>Specify the enhancements for XR Awareness (RAN2, RAN3): TBD (detailed objectives will be further clarified at RAN#99 based on the conclusions of TR38.835, and work to be started only after RAN#99)</w:t>
            </w:r>
          </w:p>
        </w:tc>
      </w:tr>
    </w:tbl>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rPr>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Pr>
          <w:rFonts w:ascii="Times New Roman" w:hAnsi="Times New Roman" w:cs="Times New Roman"/>
          <w:lang w:eastAsia="zh-CN"/>
        </w:rPr>
        <w:t xml:space="preserve"> </w:t>
      </w:r>
      <w:r>
        <w:rPr>
          <w:rFonts w:ascii="Times New Roman" w:hAnsi="Times New Roman" w:cs="Times New Roman"/>
        </w:rPr>
        <w:t xml:space="preserve">The capacity enhancement for XR has been studied in Rel-17/18 and the purpose of capacity study is to understand the performance of NR systems for XR applications, identify any issues and performance gaps, which could be useful for understanding the limitation of current NR systems in supporting XR applications and the potential directions for future necessary enhancements to better support XR. In this contribution, we provide our views on XR specific capacity enhancements techniques. </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p>
    <w:p>
      <w:pPr>
        <w:pStyle w:val="30"/>
        <w:ind w:left="24"/>
        <w:rPr>
          <w:rFonts w:cs="Times New Roman"/>
          <w:color w:val="000000" w:themeColor="text1"/>
          <w:sz w:val="22"/>
          <w:lang w:eastAsia="zh-CN"/>
          <w14:textFill>
            <w14:solidFill>
              <w14:schemeClr w14:val="tx1"/>
            </w14:solidFill>
          </w14:textFill>
        </w:rPr>
      </w:pPr>
      <w:bookmarkStart w:id="2" w:name="OLE_LINK4"/>
      <w:bookmarkStart w:id="3" w:name="OLE_LINK3"/>
      <w:r>
        <w:rPr>
          <w:rFonts w:cs="Times New Roman"/>
          <w:color w:val="000000" w:themeColor="text1"/>
          <w:sz w:val="22"/>
          <w:lang w:eastAsia="zh-CN"/>
          <w14:textFill>
            <w14:solidFill>
              <w14:schemeClr w14:val="tx1"/>
            </w14:solidFill>
          </w14:textFill>
        </w:rPr>
        <w:t>Traffic characteristics of XR services were intensively studied</w:t>
      </w:r>
      <w:r>
        <w:rPr>
          <w:rFonts w:cs="Times New Roman"/>
          <w:color w:val="000000" w:themeColor="text1"/>
          <w:sz w:val="22"/>
          <w14:textFill>
            <w14:solidFill>
              <w14:schemeClr w14:val="tx1"/>
            </w14:solidFill>
          </w14:textFill>
        </w:rPr>
        <w:t xml:space="preserve"> </w:t>
      </w:r>
      <w:r>
        <w:rPr>
          <w:rFonts w:cs="Times New Roman"/>
          <w:color w:val="000000" w:themeColor="text1"/>
          <w:sz w:val="22"/>
          <w:lang w:eastAsia="zh-CN"/>
          <w14:textFill>
            <w14:solidFill>
              <w14:schemeClr w14:val="tx1"/>
            </w14:solidFill>
          </w14:textFill>
        </w:rPr>
        <w:t>in the Rel-17 RAN1 meetings, and the DL/UL traffic models for the video stream and Pose/control for XR and cloud gaming services were agreed. Based on the outcomes of the studies so far, the following characteristics [2] of the XR traffic are identified and should be considered for the potential enhancements of NR to support XR.</w:t>
      </w:r>
    </w:p>
    <w:p>
      <w:pPr>
        <w:pStyle w:val="30"/>
        <w:widowControl/>
        <w:numPr>
          <w:ilvl w:val="0"/>
          <w:numId w:val="16"/>
        </w:numPr>
        <w:spacing w:before="120" w:after="120"/>
        <w:rPr>
          <w:rFonts w:cs="Times New Roman"/>
          <w:color w:val="000000" w:themeColor="text1"/>
          <w:sz w:val="22"/>
          <w14:textFill>
            <w14:solidFill>
              <w14:schemeClr w14:val="tx1"/>
            </w14:solidFill>
          </w14:textFill>
        </w:rPr>
      </w:pPr>
      <w:r>
        <w:rPr>
          <w:rFonts w:cs="Times New Roman"/>
          <w:b/>
          <w:color w:val="000000" w:themeColor="text1"/>
          <w:sz w:val="22"/>
          <w:lang w:eastAsia="zh-CN"/>
          <w14:textFill>
            <w14:solidFill>
              <w14:schemeClr w14:val="tx1"/>
            </w14:solidFill>
          </w14:textFill>
        </w:rPr>
        <w:t>Non-integer periodicity</w:t>
      </w:r>
    </w:p>
    <w:p>
      <w:pPr>
        <w:pStyle w:val="30"/>
        <w:widowControl/>
        <w:spacing w:after="120"/>
        <w:rPr>
          <w:rFonts w:cs="Times New Roman"/>
          <w:sz w:val="22"/>
        </w:rPr>
      </w:pPr>
      <w:r>
        <w:rPr>
          <w:rFonts w:cs="Times New Roman"/>
          <w:color w:val="auto"/>
          <w:sz w:val="2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the corresponding periodicities are {33.33ms, 16.67ms, 11.11ms, 8.33ms} respectively. It’s not an integer periodic of symbol or slot. </w:t>
      </w:r>
    </w:p>
    <w:p>
      <w:pPr>
        <w:pStyle w:val="30"/>
        <w:widowControl/>
        <w:numPr>
          <w:ilvl w:val="0"/>
          <w:numId w:val="16"/>
        </w:numPr>
        <w:spacing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Jitter of packet arrival time</w:t>
      </w:r>
    </w:p>
    <w:p>
      <w:pPr>
        <w:pStyle w:val="30"/>
        <w:widowControl/>
        <w:spacing w:after="120"/>
        <w:rPr>
          <w:rFonts w:cs="Times New Roman"/>
          <w:color w:val="000000" w:themeColor="text1"/>
          <w:sz w:val="22"/>
          <w:lang w:eastAsia="zh-CN"/>
          <w14:textFill>
            <w14:solidFill>
              <w14:schemeClr w14:val="tx1"/>
            </w14:solidFill>
          </w14:textFill>
        </w:rPr>
      </w:pPr>
      <w:r>
        <w:rPr>
          <w:rFonts w:cs="Times New Roman"/>
          <w:color w:val="000000" w:themeColor="text1"/>
          <w:sz w:val="22"/>
          <w:lang w:eastAsia="zh-CN"/>
          <w14:textFill>
            <w14:solidFill>
              <w14:schemeClr w14:val="tx1"/>
            </w14:solidFill>
          </w14:textFill>
        </w:rPr>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pPr>
        <w:pStyle w:val="83"/>
        <w:widowControl w:val="0"/>
        <w:numPr>
          <w:ilvl w:val="0"/>
          <w:numId w:val="16"/>
        </w:numPr>
        <w:spacing w:before="120" w:after="120" w:line="276" w:lineRule="auto"/>
        <w:jc w:val="both"/>
        <w:rPr>
          <w:rFonts w:ascii="Times New Roman" w:hAnsi="Times New Roman" w:cs="Times New Roman"/>
          <w:b/>
          <w:bCs/>
        </w:rPr>
      </w:pPr>
      <w:r>
        <w:rPr>
          <w:rFonts w:ascii="Times New Roman" w:hAnsi="Times New Roman" w:cs="Times New Roman"/>
          <w:b/>
          <w:bCs/>
        </w:rPr>
        <w:t>Low latency and large packet size</w:t>
      </w:r>
    </w:p>
    <w:p>
      <w:pPr>
        <w:tabs>
          <w:tab w:val="left" w:pos="720"/>
        </w:tabs>
        <w:spacing w:before="120" w:after="120" w:line="240" w:lineRule="auto"/>
        <w:jc w:val="both"/>
        <w:rPr>
          <w:rFonts w:ascii="Times New Roman" w:hAnsi="Times New Roman" w:cs="Times New Roman"/>
        </w:rPr>
      </w:pPr>
      <w:r>
        <w:rPr>
          <w:rFonts w:ascii="Times New Roman" w:hAnsi="Times New Roman" w:cs="Times New Roman"/>
        </w:rPr>
        <w:t xml:space="preserve">To provide good experience of XR, the latency of XR traffic should be as low as possible. As agreed in RAN1 meetings in Rel-17, air interface PDB for DL video stream is as follows.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VR/AR</w:t>
      </w:r>
    </w:p>
    <w:p>
      <w:pPr>
        <w:numPr>
          <w:ilvl w:val="1"/>
          <w:numId w:val="17"/>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10ms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CG</w:t>
      </w:r>
    </w:p>
    <w:p>
      <w:pPr>
        <w:numPr>
          <w:ilvl w:val="1"/>
          <w:numId w:val="17"/>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15ms</w:t>
      </w:r>
    </w:p>
    <w:p>
      <w:pPr>
        <w:autoSpaceDN w:val="0"/>
        <w:spacing w:after="0" w:line="240" w:lineRule="auto"/>
        <w:jc w:val="both"/>
        <w:rPr>
          <w:rFonts w:ascii="Times New Roman" w:hAnsi="Times New Roman" w:eastAsia="宋体" w:cs="Times New Roman"/>
          <w:lang w:eastAsia="zh-CN"/>
        </w:rPr>
      </w:pPr>
      <w:r>
        <w:rPr>
          <w:rFonts w:ascii="Times New Roman" w:hAnsi="Times New Roman" w:cs="Times New Roman"/>
          <w:lang w:eastAsia="sv-SE"/>
        </w:rPr>
        <w:t xml:space="preserve">According to the agreed traffic model in Rel-17, mean packet size is very large. Taking </w:t>
      </w:r>
      <w:r>
        <w:rPr>
          <w:rFonts w:ascii="Times New Roman" w:hAnsi="Times New Roman" w:cs="Times New Roman"/>
          <w:lang w:eastAsia="zh-CN"/>
        </w:rPr>
        <w:t>AR/VR 60Mbps as example, mean packet size is 125000 bytes.</w:t>
      </w:r>
      <w:r>
        <w:rPr>
          <w:rFonts w:ascii="Times New Roman" w:hAnsi="Times New Roman" w:eastAsia="宋体" w:cs="Times New Roman"/>
          <w:lang w:eastAsia="zh-CN"/>
        </w:rPr>
        <w:t xml:space="preserve"> This is very different from</w:t>
      </w:r>
      <w:r>
        <w:rPr>
          <w:rFonts w:ascii="Times New Roman" w:hAnsi="Times New Roman" w:cs="Times New Roman"/>
        </w:rPr>
        <w:t xml:space="preserve"> R-15/6 URLLC or eMBB services</w:t>
      </w:r>
      <w:r>
        <w:rPr>
          <w:rFonts w:ascii="Times New Roman" w:hAnsi="Times New Roman" w:cs="Times New Roman"/>
          <w:lang w:eastAsia="zh-CN"/>
        </w:rPr>
        <w:t>.</w:t>
      </w:r>
      <w:r>
        <w:rPr>
          <w:rFonts w:ascii="Times New Roman" w:hAnsi="Times New Roman" w:cs="Times New Roman"/>
        </w:rPr>
        <w:t xml:space="preserve"> For URLLC, one of the most challenge is latency, and for eMBB, one of the most challenge is high transmission data. However, for XR services, both high transmission rate and low latency should be satisfied.</w:t>
      </w:r>
    </w:p>
    <w:p>
      <w:pPr>
        <w:pStyle w:val="30"/>
        <w:widowControl/>
        <w:numPr>
          <w:ilvl w:val="0"/>
          <w:numId w:val="16"/>
        </w:numPr>
        <w:spacing w:before="120"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Varying packet size</w:t>
      </w:r>
    </w:p>
    <w:p>
      <w:pPr>
        <w:spacing w:before="120" w:beforeLines="50" w:after="120" w:afterLines="50"/>
        <w:jc w:val="both"/>
        <w:rPr>
          <w:rFonts w:ascii="Times New Roman" w:hAnsi="Times New Roman" w:cs="Times New Roman"/>
          <w:lang w:eastAsia="zh-CN"/>
        </w:rPr>
      </w:pPr>
      <w:r>
        <w:rPr>
          <w:rFonts w:ascii="Times New Roman" w:hAnsi="Times New Roman" w:eastAsia="宋体" w:cs="Times New Roman"/>
          <w:lang w:eastAsia="zh-CN"/>
        </w:rPr>
        <w:t xml:space="preserve">In Rel-17 RAN1 meeting, </w:t>
      </w:r>
      <w:r>
        <w:rPr>
          <w:rFonts w:ascii="Times New Roman" w:hAnsi="Times New Roman" w:cs="Times New Roman"/>
          <w:lang w:eastAsia="ja-JP"/>
        </w:rPr>
        <w:t xml:space="preserve">parameters of Truncated Gaussian distribution for packet size of DL video stream in case of single stream evaluation has been agreed and is shown below. We can observed that the packet size of XR is not fixed. </w:t>
      </w:r>
    </w:p>
    <w:p>
      <w:pPr>
        <w:pStyle w:val="83"/>
        <w:numPr>
          <w:ilvl w:val="0"/>
          <w:numId w:val="18"/>
        </w:numPr>
        <w:overflowPunct w:val="0"/>
        <w:autoSpaceDE w:val="0"/>
        <w:autoSpaceDN w:val="0"/>
        <w:adjustRightInd w:val="0"/>
        <w:spacing w:before="120" w:beforeLines="50" w:after="120" w:afterLines="50" w:line="240" w:lineRule="auto"/>
        <w:jc w:val="both"/>
        <w:textAlignment w:val="baseline"/>
        <w:rPr>
          <w:rFonts w:ascii="Times New Roman" w:hAnsi="Times New Roman" w:cs="Times New Roman"/>
          <w:lang w:eastAsia="zh-CN"/>
        </w:rPr>
      </w:pPr>
      <w:r>
        <w:rPr>
          <w:rFonts w:ascii="Times New Roman" w:hAnsi="Times New Roman" w:cs="Times New Roman"/>
          <w:lang w:eastAsia="zh-CN"/>
        </w:rPr>
        <w:t>[STD, Max, Min]: [10.5, 150, 50]% of Mean packet size</w:t>
      </w:r>
    </w:p>
    <w:p>
      <w:pPr>
        <w:pStyle w:val="83"/>
        <w:numPr>
          <w:ilvl w:val="0"/>
          <w:numId w:val="16"/>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Multiple flows</w:t>
      </w:r>
    </w:p>
    <w:p>
      <w:pPr>
        <w:spacing w:before="120" w:beforeLines="50" w:after="120" w:afterLines="50"/>
        <w:jc w:val="both"/>
        <w:rPr>
          <w:rFonts w:ascii="Times New Roman" w:hAnsi="Times New Roman" w:cs="Times New Roman"/>
        </w:rPr>
      </w:pPr>
      <w:r>
        <w:rPr>
          <w:rFonts w:ascii="Times New Roman" w:hAnsi="Times New Roman" w:cs="Times New Roman"/>
        </w:rPr>
        <w:t xml:space="preserve">For an XR application, there might be multiple data streams. Multiple streams may have different traffic characteristics, requirements and priorities. </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 xml:space="preserve">Observation 1: XR services have the following characteristics. </w:t>
      </w:r>
    </w:p>
    <w:p>
      <w:pPr>
        <w:pStyle w:val="83"/>
        <w:numPr>
          <w:ilvl w:val="0"/>
          <w:numId w:val="1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1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1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19"/>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19"/>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p>
    <w:bookmarkEnd w:id="2"/>
    <w:bookmarkEnd w:id="3"/>
    <w:p>
      <w:pPr>
        <w:pStyle w:val="4"/>
        <w:rPr>
          <w:sz w:val="22"/>
          <w:szCs w:val="22"/>
        </w:rPr>
      </w:pPr>
      <w:r>
        <w:rPr>
          <w:sz w:val="22"/>
          <w:szCs w:val="22"/>
        </w:rPr>
        <w:t>CG enhancements for XR</w:t>
      </w:r>
    </w:p>
    <w:p>
      <w:pPr>
        <w:pStyle w:val="83"/>
        <w:numPr>
          <w:ilvl w:val="0"/>
          <w:numId w:val="20"/>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Time resource for multiple TOs configured within a CG</w:t>
      </w:r>
    </w:p>
    <w:p>
      <w:pPr>
        <w:jc w:val="both"/>
        <w:rPr>
          <w:rFonts w:ascii="Times New Roman" w:hAnsi="Times New Roman" w:eastAsia="宋体" w:cs="Times New Roman"/>
          <w:lang w:eastAsia="zh-CN"/>
        </w:rPr>
      </w:pPr>
      <w:r>
        <w:rPr>
          <w:rFonts w:ascii="Times New Roman" w:hAnsi="Times New Roman" w:cs="Times New Roman"/>
        </w:rPr>
        <w:t>For XR video, a large frame size may require more than one PUSCHs to be transmitted in each video frame period and it’s has been agreed that multiple PUSCH transmission occasions can be configured into a CG period.</w:t>
      </w:r>
      <w:r>
        <w:rPr>
          <w:rFonts w:ascii="Times New Roman" w:hAnsi="Times New Roman" w:eastAsia="宋体" w:cs="Times New Roman"/>
          <w:lang w:eastAsia="zh-CN" w:bidi="ar"/>
        </w:rPr>
        <w:t xml:space="preserve"> The time domain resource allocation (TDRA)for the TOs can refer to current mechanism of resource allocation of PUSCH repetition type A or type B, which can be called as repetition type A like or type B like TDRA for multiple TOs, respectively.</w:t>
      </w:r>
    </w:p>
    <w:p>
      <w:pPr>
        <w:pStyle w:val="63"/>
        <w:numPr>
          <w:ilvl w:val="0"/>
          <w:numId w:val="21"/>
        </w:numPr>
        <w:autoSpaceDE w:val="0"/>
        <w:autoSpaceDN w:val="0"/>
        <w:adjustRightInd w:val="0"/>
        <w:snapToGrid w:val="0"/>
        <w:spacing w:before="72" w:beforeLines="30" w:beforeAutospacing="0" w:after="0" w:afterAutospacing="0" w:line="60" w:lineRule="atLeast"/>
        <w:jc w:val="both"/>
        <w:rPr>
          <w:rFonts w:eastAsia="宋体"/>
          <w:sz w:val="22"/>
          <w:szCs w:val="22"/>
          <w:lang w:val="en-US"/>
        </w:rPr>
      </w:pPr>
      <w:r>
        <w:rPr>
          <w:rFonts w:eastAsia="宋体"/>
          <w:sz w:val="22"/>
          <w:szCs w:val="22"/>
          <w:lang w:val="en-US" w:eastAsia="zh-CN" w:bidi="ar"/>
        </w:rPr>
        <w:t>For the repetition type A like TDRA, up to one TO within a slot and the same resource allocation is expected for each slot. In other words, the occupied resources within each TOs is expected to have the same starting position and duration length.</w:t>
      </w:r>
    </w:p>
    <w:p>
      <w:pPr>
        <w:pStyle w:val="63"/>
        <w:numPr>
          <w:ilvl w:val="0"/>
          <w:numId w:val="21"/>
        </w:numPr>
        <w:autoSpaceDE w:val="0"/>
        <w:autoSpaceDN w:val="0"/>
        <w:adjustRightInd w:val="0"/>
        <w:snapToGrid w:val="0"/>
        <w:spacing w:before="72" w:beforeLines="30" w:beforeAutospacing="0" w:after="0" w:afterAutospacing="0" w:line="60" w:lineRule="atLeast"/>
        <w:jc w:val="both"/>
        <w:rPr>
          <w:rFonts w:eastAsia="宋体"/>
          <w:sz w:val="22"/>
          <w:szCs w:val="22"/>
          <w:lang w:val="en-US"/>
        </w:rPr>
      </w:pPr>
      <w:r>
        <w:rPr>
          <w:rFonts w:eastAsia="宋体"/>
          <w:sz w:val="22"/>
          <w:szCs w:val="22"/>
          <w:lang w:val="en-US" w:eastAsia="zh-CN" w:bidi="ar"/>
        </w:rPr>
        <w:t>For the repetition type B like TDRA, a set of consecutive symbols is allocated to the multiple TO within a CG configuration, where only the valid UL symbols within these consecutive symbols are used for nominal or actual PUSCH transmission.</w:t>
      </w:r>
    </w:p>
    <w:p>
      <w:pPr>
        <w:jc w:val="both"/>
        <w:rPr>
          <w:rFonts w:ascii="Times New Roman" w:hAnsi="Times New Roman" w:eastAsia="宋体" w:cs="Times New Roman"/>
          <w:lang w:eastAsia="zh-CN"/>
        </w:rPr>
      </w:pPr>
      <w:r>
        <w:rPr>
          <w:rFonts w:ascii="Times New Roman" w:hAnsi="Times New Roman" w:eastAsia="宋体" w:cs="Times New Roman"/>
          <w:lang w:eastAsia="zh-CN"/>
        </w:rPr>
        <w:t xml:space="preserve">Which type allocation in time domain is suitable for multiple TOs configured within a CG for XR? In our views, </w:t>
      </w:r>
      <w:r>
        <w:rPr>
          <w:rFonts w:ascii="Times New Roman" w:hAnsi="Times New Roman" w:cs="Times New Roman"/>
        </w:rPr>
        <w:t xml:space="preserve">PUSCH repetition type B like time domain allocation is useful for low latency by allowing back-to-back transmissions in one slot. In addition, the back-to-back transmissions can also be better to use as many as possible available symbols for uplink transmission, especially for the specific slots. As a result, the repetition type B like TDRA can be used for multiple TOs in time domain. </w:t>
      </w:r>
    </w:p>
    <w:p>
      <w:pPr>
        <w:jc w:val="both"/>
        <w:rPr>
          <w:rFonts w:ascii="Times New Roman" w:hAnsi="Times New Roman" w:eastAsia="宋体" w:cs="Times New Roman"/>
          <w:b/>
          <w:i/>
          <w:lang w:eastAsia="zh-CN" w:bidi="ar"/>
        </w:rPr>
      </w:pPr>
      <w:r>
        <w:rPr>
          <w:rFonts w:ascii="Times New Roman" w:hAnsi="Times New Roman" w:eastAsia="宋体" w:cs="Times New Roman"/>
          <w:b/>
          <w:i/>
          <w:lang w:eastAsia="zh-CN" w:bidi="ar"/>
        </w:rPr>
        <w:t>Proposal 1:</w:t>
      </w:r>
      <w:r>
        <w:rPr>
          <w:rFonts w:ascii="Times New Roman" w:hAnsi="Times New Roman" w:eastAsia="宋体" w:cs="Times New Roman"/>
          <w:b/>
          <w:lang w:eastAsia="zh-CN" w:bidi="ar"/>
        </w:rPr>
        <w:t xml:space="preserve"> </w:t>
      </w:r>
      <w:r>
        <w:rPr>
          <w:rFonts w:ascii="Times New Roman" w:hAnsi="Times New Roman" w:eastAsia="宋体" w:cs="Times New Roman"/>
          <w:b/>
          <w:i/>
          <w:lang w:eastAsia="zh-CN" w:bidi="ar"/>
        </w:rPr>
        <w:t>The repetition type B like TDRA for multiple TOs within a CG configuration can be considered for XR.</w:t>
      </w:r>
    </w:p>
    <w:p>
      <w:pPr>
        <w:pStyle w:val="83"/>
        <w:numPr>
          <w:ilvl w:val="0"/>
          <w:numId w:val="20"/>
        </w:numPr>
        <w:jc w:val="both"/>
        <w:rPr>
          <w:rFonts w:ascii="Times New Roman" w:hAnsi="Times New Roman" w:eastAsia="宋体" w:cs="Times New Roman"/>
          <w:b/>
          <w:lang w:eastAsia="zh-CN" w:bidi="ar"/>
        </w:rPr>
      </w:pPr>
      <w:r>
        <w:rPr>
          <w:rFonts w:ascii="Times New Roman" w:hAnsi="Times New Roman" w:eastAsia="宋体" w:cs="Times New Roman"/>
          <w:b/>
          <w:lang w:eastAsia="zh-CN" w:bidi="ar"/>
        </w:rPr>
        <w:t>Indication the number of TOs</w:t>
      </w:r>
    </w:p>
    <w:p>
      <w:pPr>
        <w:jc w:val="both"/>
        <w:rPr>
          <w:rFonts w:ascii="Times New Roman" w:hAnsi="Times New Roman" w:cs="Times New Roman"/>
          <w:lang w:eastAsia="zh-CN"/>
        </w:rPr>
      </w:pPr>
      <w:r>
        <w:rPr>
          <w:rFonts w:ascii="Times New Roman" w:hAnsi="Times New Roman" w:cs="Times New Roman"/>
        </w:rPr>
        <w:t xml:space="preserve">In current specification, CG supports single PUSCH transmission with or without repetitions, when a CG configured with repetition and the number of repetition is large than 1, then multiple transmission occasion can be used for transmitted a TB and its repetitions with a same or different RV(s). </w:t>
      </w:r>
      <w:r>
        <w:rPr>
          <w:rFonts w:ascii="Times New Roman" w:hAnsi="Times New Roman" w:cs="Times New Roman"/>
          <w:lang w:eastAsia="zh-CN"/>
        </w:rPr>
        <w:t xml:space="preserve">In Rel-15, semi-static configured the number of repetition (e.g. Rep k) for CG is supported, to </w:t>
      </w:r>
      <w:r>
        <w:rPr>
          <w:rFonts w:ascii="Times New Roman" w:hAnsi="Times New Roman" w:cs="Times New Roman"/>
          <w:color w:val="000000"/>
        </w:rPr>
        <w:t>provide the better scheduling flexibility</w:t>
      </w:r>
      <w:r>
        <w:rPr>
          <w:rFonts w:ascii="Times New Roman" w:hAnsi="Times New Roman" w:cs="Times New Roman"/>
        </w:rPr>
        <w:t xml:space="preserve">, dynamic indication the number of repetition is supported for CG in Rel-16 through adding a new column in TDRA. Similar rules could be used for indication of the number of TOs for multiple TOs configured within a CG configuration, e.g. a new column can be added into the TDRA table. When the DCI indicate a row with the number of multiple TOs, the granted transmission would be the multiple TOs transmission within a CG configuration. </w:t>
      </w:r>
    </w:p>
    <w:p>
      <w:pPr>
        <w:jc w:val="both"/>
        <w:rPr>
          <w:rFonts w:ascii="Times New Roman" w:hAnsi="Times New Roman" w:cs="Times New Roman"/>
        </w:rPr>
      </w:pPr>
      <w:r>
        <w:rPr>
          <w:rFonts w:ascii="Times New Roman" w:hAnsi="Times New Roman" w:cs="Times New Roman"/>
          <w:lang w:eastAsia="zh-CN"/>
        </w:rPr>
        <w:t xml:space="preserve">In addition, for XR service, the high reliability is required, to achieve the high reliability, the most straightforward way is enabled repetition of the multiple TOs with a CG configuration. Thus, repetition for multiple TOs transmission can also be needed.  </w:t>
      </w:r>
    </w:p>
    <w:p>
      <w:pPr>
        <w:adjustRightInd w:val="0"/>
        <w:snapToGrid w:val="0"/>
        <w:jc w:val="both"/>
        <w:rPr>
          <w:rFonts w:ascii="Times New Roman" w:hAnsi="Times New Roman" w:cs="Times New Roman"/>
          <w:b/>
          <w:i/>
          <w:lang w:eastAsia="zh-CN"/>
        </w:rPr>
      </w:pPr>
      <w:r>
        <w:rPr>
          <w:rFonts w:ascii="Times New Roman" w:hAnsi="Times New Roman" w:cs="Times New Roman"/>
          <w:b/>
          <w:i/>
          <w:lang w:eastAsia="zh-CN"/>
        </w:rPr>
        <w:t xml:space="preserve">Proposal 2: Number of TOs within CG configuration can be indicated by TDRA. </w:t>
      </w:r>
    </w:p>
    <w:p>
      <w:pPr>
        <w:jc w:val="both"/>
        <w:rPr>
          <w:rFonts w:ascii="Times New Roman" w:hAnsi="Times New Roman" w:cs="Times New Roman"/>
          <w:b/>
          <w:i/>
          <w:position w:val="-6"/>
        </w:rPr>
      </w:pPr>
      <w:r>
        <w:rPr>
          <w:rFonts w:ascii="Times New Roman" w:hAnsi="Times New Roman" w:cs="Times New Roman"/>
          <w:b/>
          <w:bCs/>
          <w:i/>
          <w:position w:val="-6"/>
        </w:rPr>
        <w:t xml:space="preserve">Proposal 3: </w:t>
      </w:r>
      <w:r>
        <w:rPr>
          <w:rFonts w:ascii="Times New Roman" w:hAnsi="Times New Roman" w:cs="Times New Roman"/>
          <w:b/>
          <w:i/>
          <w:position w:val="-6"/>
        </w:rPr>
        <w:t xml:space="preserve">Repetition can also be indicated when multiple TOs are configured within a CG configuration. </w:t>
      </w:r>
    </w:p>
    <w:p>
      <w:pPr>
        <w:pStyle w:val="83"/>
        <w:numPr>
          <w:ilvl w:val="0"/>
          <w:numId w:val="22"/>
        </w:numPr>
        <w:spacing w:before="120" w:beforeLines="50" w:after="120" w:afterLines="50"/>
        <w:jc w:val="both"/>
        <w:rPr>
          <w:rFonts w:ascii="Times New Roman" w:hAnsi="Times New Roman" w:eastAsia="宋体" w:cs="Times New Roman"/>
          <w:b/>
          <w:lang w:eastAsia="zh-CN" w:bidi="ar"/>
        </w:rPr>
      </w:pPr>
      <w:r>
        <w:rPr>
          <w:rFonts w:ascii="Times New Roman" w:hAnsi="Times New Roman" w:eastAsia="宋体" w:cs="Times New Roman"/>
          <w:b/>
          <w:lang w:eastAsia="zh-CN" w:bidi="ar"/>
        </w:rPr>
        <w:t xml:space="preserve">HARQ-ID </w:t>
      </w:r>
      <w:r>
        <w:rPr>
          <w:rFonts w:hint="eastAsia" w:ascii="Times New Roman" w:hAnsi="Times New Roman" w:eastAsia="宋体" w:cs="Times New Roman"/>
          <w:b/>
          <w:lang w:eastAsia="zh-CN" w:bidi="ar"/>
        </w:rPr>
        <w:t>f</w:t>
      </w:r>
      <w:r>
        <w:rPr>
          <w:rFonts w:ascii="Times New Roman" w:hAnsi="Times New Roman" w:eastAsia="宋体" w:cs="Times New Roman"/>
          <w:b/>
          <w:lang w:eastAsia="zh-CN" w:bidi="ar"/>
        </w:rPr>
        <w:t>or multiple TOs within a CG configuration</w:t>
      </w:r>
    </w:p>
    <w:p>
      <w:pPr>
        <w:jc w:val="both"/>
        <w:rPr>
          <w:rFonts w:ascii="Times New Roman" w:hAnsi="Times New Roman" w:cs="Times New Roman"/>
        </w:rPr>
      </w:pPr>
      <w:r>
        <w:rPr>
          <w:rFonts w:ascii="Times New Roman" w:hAnsi="Times New Roman" w:cs="Times New Roman"/>
        </w:rPr>
        <w:t>In current spec, the HARQ-ID of a CG configuration is calculated based on the time location of the first transmission occasion, as the following formula:</w:t>
      </w:r>
    </w:p>
    <w:p>
      <w:pPr>
        <w:jc w:val="both"/>
        <w:rPr>
          <w:rFonts w:ascii="Times New Roman" w:hAnsi="Times New Roman" w:cs="Times New Roman"/>
          <w:i/>
        </w:rPr>
      </w:pPr>
      <w:r>
        <w:rPr>
          <w:rFonts w:ascii="Times New Roman" w:hAnsi="Times New Roman" w:cs="Times New Roman"/>
        </w:rPr>
        <w:t xml:space="preserve">HARQ Process ID = [floor(CURRENT_symbol / </w:t>
      </w:r>
      <w:r>
        <w:rPr>
          <w:rFonts w:ascii="Times New Roman" w:hAnsi="Times New Roman" w:cs="Times New Roman"/>
          <w:i/>
        </w:rPr>
        <w:t>periodicity</w:t>
      </w:r>
      <w:r>
        <w:rPr>
          <w:rFonts w:ascii="Times New Roman" w:hAnsi="Times New Roman" w:cs="Times New Roman"/>
        </w:rPr>
        <w:t xml:space="preserve">)] modulo </w:t>
      </w:r>
      <w:r>
        <w:rPr>
          <w:rFonts w:ascii="Times New Roman" w:hAnsi="Times New Roman" w:cs="Times New Roman"/>
          <w:i/>
        </w:rPr>
        <w:t>nrofHARQ-Processes</w:t>
      </w:r>
      <w:r>
        <w:rPr>
          <w:rFonts w:ascii="Times New Roman" w:hAnsi="Times New Roman" w:cs="Times New Roman"/>
        </w:rPr>
        <w:t xml:space="preserve"> + </w:t>
      </w:r>
      <w:r>
        <w:rPr>
          <w:rFonts w:ascii="Times New Roman" w:hAnsi="Times New Roman" w:cs="Times New Roman"/>
          <w:i/>
        </w:rPr>
        <w:t xml:space="preserve">harq-ProcID-Offset </w:t>
      </w:r>
    </w:p>
    <w:p>
      <w:pPr>
        <w:jc w:val="both"/>
        <w:rPr>
          <w:rFonts w:ascii="Times New Roman" w:hAnsi="Times New Roman" w:cs="Times New Roman"/>
        </w:rPr>
      </w:pPr>
      <w:r>
        <w:rPr>
          <w:rFonts w:ascii="Times New Roman" w:hAnsi="Times New Roman" w:cs="Times New Roman"/>
          <w:lang w:eastAsia="ko-KR"/>
        </w:rPr>
        <w:t xml:space="preserve">where CURRENT_symbol = (SFN × </w:t>
      </w:r>
      <w:r>
        <w:rPr>
          <w:rFonts w:ascii="Times New Roman" w:hAnsi="Times New Roman" w:cs="Times New Roman"/>
          <w:i/>
          <w:lang w:eastAsia="ko-KR"/>
        </w:rPr>
        <w:t>numberOfSlotsPerFrame</w:t>
      </w:r>
      <w:r>
        <w:rPr>
          <w:rFonts w:ascii="Times New Roman" w:hAnsi="Times New Roman" w:cs="Times New Roman"/>
          <w:lang w:eastAsia="ko-KR"/>
        </w:rPr>
        <w:t xml:space="preserve"> × </w:t>
      </w:r>
      <w:r>
        <w:rPr>
          <w:rFonts w:ascii="Times New Roman" w:hAnsi="Times New Roman" w:cs="Times New Roman"/>
          <w:i/>
          <w:lang w:eastAsia="ko-KR"/>
        </w:rPr>
        <w:t>numberOfSymbolsPerSlot</w:t>
      </w:r>
      <w:r>
        <w:rPr>
          <w:rFonts w:ascii="Times New Roman" w:hAnsi="Times New Roman" w:cs="Times New Roman"/>
          <w:lang w:eastAsia="ko-KR"/>
        </w:rPr>
        <w:t xml:space="preserve"> + slot number in the frame × </w:t>
      </w:r>
      <w:r>
        <w:rPr>
          <w:rFonts w:ascii="Times New Roman" w:hAnsi="Times New Roman" w:cs="Times New Roman"/>
          <w:i/>
          <w:lang w:eastAsia="ko-KR"/>
        </w:rPr>
        <w:t>numberOfSymbolsPerSlot</w:t>
      </w:r>
      <w:r>
        <w:rPr>
          <w:rFonts w:ascii="Times New Roman" w:hAnsi="Times New Roman" w:cs="Times New Roman"/>
          <w:lang w:eastAsia="ko-KR"/>
        </w:rPr>
        <w:t xml:space="preserve"> + symbol number in the slot), and </w:t>
      </w:r>
      <w:r>
        <w:rPr>
          <w:rFonts w:ascii="Times New Roman" w:hAnsi="Times New Roman" w:cs="Times New Roman"/>
          <w:i/>
          <w:lang w:eastAsia="ko-KR"/>
        </w:rPr>
        <w:t>numberOfSlotsPerFrame</w:t>
      </w:r>
      <w:r>
        <w:rPr>
          <w:rFonts w:ascii="Times New Roman" w:hAnsi="Times New Roman" w:cs="Times New Roman"/>
          <w:lang w:eastAsia="ko-KR"/>
        </w:rPr>
        <w:t xml:space="preserve"> and </w:t>
      </w:r>
      <w:r>
        <w:rPr>
          <w:rFonts w:ascii="Times New Roman" w:hAnsi="Times New Roman" w:cs="Times New Roman"/>
          <w:i/>
          <w:lang w:eastAsia="ko-KR"/>
        </w:rPr>
        <w:t>numberOfSymbolsPerSlot</w:t>
      </w:r>
      <w:r>
        <w:rPr>
          <w:rFonts w:ascii="Times New Roman" w:hAnsi="Times New Roman" w:cs="Times New Roman"/>
          <w:lang w:eastAsia="ko-KR"/>
        </w:rPr>
        <w:t xml:space="preserve"> refer to the number of consecutive slots per frame and the number of consecutive symbols per slot, respectively as specified in TS 38.211.</w:t>
      </w:r>
    </w:p>
    <w:p>
      <w:pPr>
        <w:pStyle w:val="190"/>
        <w:rPr>
          <w:sz w:val="22"/>
          <w:szCs w:val="22"/>
        </w:rPr>
      </w:pPr>
      <w:r>
        <w:rPr>
          <w:sz w:val="22"/>
          <w:szCs w:val="22"/>
        </w:rPr>
        <w:t>Rel-15/16 PUSCH repetition allows one or multi-slot transmission of a single transport block, including where same or different redundancy versions of the PUSCH are transmitted in the same or different slots. However, when more than one transport block can be allowed to transmit over multiple TOs within a CG configuration, the shared HARQ-ID for multiple TOs within a CG will be leaded ambiguity between gNB and UE. As a results, the HARQ-ID between multiple TOs within a CG configuration need to be determined independently.</w:t>
      </w:r>
    </w:p>
    <w:p>
      <w:pPr>
        <w:pStyle w:val="83"/>
        <w:spacing w:before="120" w:beforeLines="50" w:after="120" w:afterLines="50"/>
        <w:ind w:left="0"/>
        <w:jc w:val="both"/>
        <w:rPr>
          <w:rFonts w:ascii="Times New Roman" w:hAnsi="Times New Roman" w:eastAsia="宋体" w:cs="Times New Roman"/>
          <w:b/>
          <w:i/>
          <w:lang w:eastAsia="zh-CN" w:bidi="ar"/>
        </w:rPr>
      </w:pPr>
      <w:r>
        <w:rPr>
          <w:rFonts w:ascii="Times New Roman" w:hAnsi="Times New Roman" w:eastAsia="宋体" w:cs="Times New Roman"/>
          <w:b/>
          <w:i/>
          <w:lang w:eastAsia="zh-CN" w:bidi="ar"/>
        </w:rPr>
        <w:t>Proposal 4: For XR, when multiple TOs within a CG is configured, then the HARQ-ID for all TOs should be determined independently.</w:t>
      </w:r>
    </w:p>
    <w:p>
      <w:pPr>
        <w:pStyle w:val="4"/>
        <w:rPr>
          <w:sz w:val="22"/>
          <w:szCs w:val="22"/>
          <w:lang w:val="en-US"/>
        </w:rPr>
      </w:pPr>
      <w:r>
        <w:rPr>
          <w:sz w:val="22"/>
          <w:szCs w:val="22"/>
          <w:lang w:val="en-US"/>
        </w:rPr>
        <w:t>Indicate the unused TOs within a CG configuration</w:t>
      </w:r>
    </w:p>
    <w:p>
      <w:pPr>
        <w:jc w:val="both"/>
        <w:rPr>
          <w:rFonts w:ascii="Times New Roman" w:hAnsi="Times New Roman" w:cs="Times New Roman"/>
        </w:rPr>
      </w:pPr>
      <w:r>
        <w:rPr>
          <w:rFonts w:ascii="Times New Roman" w:hAnsi="Times New Roman" w:cs="Times New Roman"/>
        </w:rPr>
        <w:t>As the XR video traffic is periodically generated and has low latency requirement, CG to support XR traffic is one straightforward way to reduce the scheduling delay thanks to no SR and BSR procedure. For XR video, one of PUSCH transmission occasion is not enough in each video frame period due to the large packet size of XR.</w:t>
      </w:r>
      <w:r>
        <w:rPr>
          <w:rFonts w:ascii="Times New Roman" w:hAnsi="Times New Roman" w:eastAsia="宋体" w:cs="Times New Roman"/>
          <w:lang w:eastAsia="zh-CN"/>
        </w:rPr>
        <w:t xml:space="preserve"> However, as the CG resources is semi-statically configured to UE, due to lack of information of the packet, then gNB need to configure enough TOs </w:t>
      </w:r>
      <w:r>
        <w:rPr>
          <w:rFonts w:ascii="Times New Roman" w:hAnsi="Times New Roman" w:cs="Times New Roman"/>
        </w:rPr>
        <w:t xml:space="preserve">within one CG period to make sure a packet can be whole carried, when UE finished a TB transmission, then the remaining TOs within a CG configuration can be indicated to gNB and the unused TOs can be used by others UE within the cell. Thus, how to indicate the unused TOs need to study, there are two cases which the UE need to indicate the unused TOs to gNB. </w:t>
      </w:r>
    </w:p>
    <w:p>
      <w:pPr>
        <w:jc w:val="both"/>
        <w:rPr>
          <w:rFonts w:ascii="Times New Roman" w:hAnsi="Times New Roman" w:eastAsia="宋体" w:cs="Times New Roman"/>
          <w:lang w:eastAsia="zh-CN"/>
        </w:rPr>
      </w:pPr>
      <w:r>
        <w:rPr>
          <w:rFonts w:ascii="Times New Roman" w:hAnsi="Times New Roman" w:cs="Times New Roman"/>
        </w:rPr>
        <w:t xml:space="preserve">Case 1: A set of consecutive unused TOs is located in the front of a CG period. As XR traffic is a pseudo-period arrival, the CG configuration should be marched with the period of XR, however, due to jitter, the traffic arrival of XR will be late than the expected TOs within a CG period, as show in figure 1. 4 PUSCHs in one CG period are configured, and during the period P2, due to jitter, the packet arrival late than the first configured TOs in time domain, as a results, the front 2 consecutive TOs within CG period P2 are unused TOs. In this case, a new type of UCI can be used to indicate the unused TOs. </w:t>
      </w:r>
    </w:p>
    <w:p>
      <w:pPr>
        <w:jc w:val="both"/>
        <w:rPr>
          <w:rFonts w:ascii="Times New Roman" w:hAnsi="Times New Roman" w:cs="Times New Roman"/>
        </w:rPr>
      </w:pPr>
      <w:r>
        <w:rPr>
          <w:rFonts w:ascii="Times New Roman" w:hAnsi="Times New Roman" w:cs="Times New Roman"/>
        </w:rPr>
        <w:t xml:space="preserve">  </w:t>
      </w:r>
    </w:p>
    <w:p>
      <w:pPr>
        <w:jc w:val="center"/>
        <w:rPr>
          <w:rFonts w:ascii="Times New Roman" w:hAnsi="Times New Roman" w:eastAsia="宋体" w:cs="Times New Roman"/>
          <w:lang w:eastAsia="zh-CN"/>
        </w:rPr>
      </w:pPr>
      <w:r>
        <w:rPr>
          <w:rFonts w:ascii="Times New Roman" w:hAnsi="Times New Roman" w:eastAsia="宋体" w:cs="Times New Roman"/>
          <w:lang w:eastAsia="zh-CN"/>
        </w:rPr>
        <w:drawing>
          <wp:inline distT="0" distB="0" distL="0" distR="0">
            <wp:extent cx="4706620" cy="15259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4757894" cy="1542757"/>
                    </a:xfrm>
                    <a:prstGeom prst="rect">
                      <a:avLst/>
                    </a:prstGeom>
                  </pic:spPr>
                </pic:pic>
              </a:graphicData>
            </a:graphic>
          </wp:inline>
        </w:drawing>
      </w:r>
    </w:p>
    <w:p>
      <w:pPr>
        <w:jc w:val="center"/>
        <w:rPr>
          <w:rFonts w:ascii="Times New Roman" w:hAnsi="Times New Roman" w:eastAsia="宋体" w:cs="Times New Roman"/>
          <w:lang w:eastAsia="zh-CN"/>
        </w:rPr>
      </w:pPr>
      <w:r>
        <w:rPr>
          <w:rFonts w:ascii="Times New Roman" w:hAnsi="Times New Roman" w:cs="Times New Roman"/>
        </w:rPr>
        <w:t>Figure 1. Variable size and jitter for XR frame size with CG</w:t>
      </w:r>
    </w:p>
    <w:p>
      <w:pPr>
        <w:spacing w:before="156" w:after="156"/>
        <w:jc w:val="both"/>
        <w:rPr>
          <w:rFonts w:ascii="Times New Roman" w:hAnsi="Times New Roman" w:cs="Times New Roman"/>
          <w:lang w:eastAsia="zh-CN"/>
        </w:rPr>
      </w:pPr>
      <w:r>
        <w:rPr>
          <w:rFonts w:ascii="Times New Roman" w:hAnsi="Times New Roman" w:eastAsia="宋体" w:cs="Times New Roman"/>
          <w:lang w:eastAsia="zh-CN"/>
        </w:rPr>
        <w:t xml:space="preserve">Case 2: </w:t>
      </w:r>
      <w:r>
        <w:rPr>
          <w:rFonts w:ascii="Times New Roman" w:hAnsi="Times New Roman" w:cs="Times New Roman"/>
        </w:rPr>
        <w:t>A set of consecutive unused TOs is located in the end of a CG period, as show in figure 1. 4 PUSCHs in one CG period are configured, and during the period P3,</w:t>
      </w:r>
      <w:r>
        <w:rPr>
          <w:rFonts w:ascii="Times New Roman" w:hAnsi="Times New Roman" w:cs="Times New Roman"/>
          <w:lang w:eastAsia="zh-CN"/>
        </w:rPr>
        <w:t xml:space="preserve"> due to the varying packet size, 2 TOs are enough to carry the packet, then the remaining 2 TOs are unused TOs. In this case, a new type of UCI or a CG-UCI can be used to indicate the unused TOs.</w:t>
      </w:r>
    </w:p>
    <w:p>
      <w:pPr>
        <w:spacing w:before="156" w:after="156"/>
        <w:jc w:val="both"/>
        <w:rPr>
          <w:rFonts w:ascii="Times New Roman" w:hAnsi="Times New Roman" w:eastAsia="宋体" w:cs="Times New Roman"/>
          <w:lang w:eastAsia="zh-CN"/>
        </w:rPr>
      </w:pPr>
      <w:r>
        <w:rPr>
          <w:rFonts w:ascii="Times New Roman" w:hAnsi="Times New Roman" w:cs="Times New Roman"/>
          <w:lang w:eastAsia="zh-CN"/>
        </w:rPr>
        <w:t>In our views, a unified solution to indicate the unused TOs for both of the above cases is better. Thus, a new type of UCI can be used to indicate the unused TOs within a CG.</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5: A new type of UCI can be used to indicate the unused TOs within a CG configuration. </w:t>
      </w:r>
    </w:p>
    <w:p>
      <w:pPr>
        <w:pStyle w:val="4"/>
        <w:rPr>
          <w:sz w:val="22"/>
          <w:szCs w:val="22"/>
        </w:rPr>
      </w:pPr>
      <w:r>
        <w:rPr>
          <w:sz w:val="22"/>
          <w:szCs w:val="22"/>
        </w:rPr>
        <w:t>Other enhancements on capacity performance for XR</w:t>
      </w:r>
    </w:p>
    <w:p>
      <w:pPr>
        <w:pStyle w:val="83"/>
        <w:numPr>
          <w:ilvl w:val="0"/>
          <w:numId w:val="16"/>
        </w:numPr>
        <w:jc w:val="both"/>
        <w:rPr>
          <w:rFonts w:ascii="Times New Roman" w:hAnsi="Times New Roman" w:cs="Times New Roman"/>
          <w:b/>
          <w:lang w:eastAsia="zh-CN"/>
        </w:rPr>
      </w:pPr>
      <w:r>
        <w:rPr>
          <w:rFonts w:ascii="Times New Roman" w:hAnsi="Times New Roman" w:cs="Times New Roman"/>
          <w:b/>
        </w:rPr>
        <w:t>Transmission pattern of CG within an integer periodicity</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lang w:eastAsia="zh-CN"/>
        </w:rPr>
        <w:t xml:space="preserve">Comparing with dynamic scheduling mechanism, scheduling time delay can also be decreased thanks to no SR and BSR procedure for CG. In addition, CG transmission mechanism can reduce the overhead of DCI signaling. As a result, enhanced CG to support XR has been agreed in R-18. In Rel-17 RAN1 meetings, it was agreed that 60 frame per second (fps) is baseline for both DL and UL video stream and 30 fps, 90 fps as well as 120 fps can be also optionally evaluated, so CG transmission mechanism can be considered for periodic XR traffic. In current specification, the periodicity of CG can only be configured as: {1/7ms, 0.5ms ,1ms,…, 320ms, 640ms} for 15kHz, 0.5x {1/7ms,0.5ms, 1ms,…,1280ms} for 30kHz, 0.25x {1/7ms,0.5ms, 1ms, …,2560ms} for 60kHz, 0.125x {1/7ms,0.5ms, 1ms, …,5120ms} for 120kHz. As show in table 1. </w:t>
      </w:r>
    </w:p>
    <w:p>
      <w:pPr>
        <w:spacing w:before="100" w:beforeAutospacing="1" w:line="256" w:lineRule="auto"/>
        <w:jc w:val="center"/>
        <w:rPr>
          <w:rFonts w:ascii="Times New Roman" w:hAnsi="Times New Roman" w:eastAsia="宋体" w:cs="Times New Roman"/>
          <w:lang w:eastAsia="zh-CN"/>
        </w:rPr>
      </w:pPr>
      <w:r>
        <w:rPr>
          <w:rFonts w:ascii="Times New Roman" w:hAnsi="Times New Roman" w:eastAsia="宋体" w:cs="Times New Roman"/>
          <w:i/>
          <w:lang w:eastAsia="zh-CN"/>
        </w:rPr>
        <w:t>Table 1. ConfiguredGrantConfig</w:t>
      </w:r>
      <w:r>
        <w:rPr>
          <w:rFonts w:ascii="Times New Roman" w:hAnsi="Times New Roman" w:eastAsia="宋体" w:cs="Times New Roman"/>
          <w:lang w:eastAsia="zh-CN"/>
        </w:rPr>
        <w:t xml:space="preserve"> information element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ASN1START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TAG-CONFIGUREDGRANTCONFIG-START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ConfiguredGrantConfig ::=           SEQUENCE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frequencyHopping                    ENUMERATED {intraSlot, interSlot}                                       OPTIONAL,   -- Need S</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OPTIONAL,   -- Need R</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highlight w:val="green"/>
          <w:lang w:eastAsia="zh-CN"/>
        </w:rPr>
        <w:t>periodicity</w:t>
      </w:r>
      <w:r>
        <w:rPr>
          <w:rFonts w:ascii="Times New Roman" w:hAnsi="Times New Roman" w:eastAsia="宋体" w:cs="Times New Roman"/>
          <w:sz w:val="16"/>
          <w:szCs w:val="16"/>
          <w:lang w:eastAsia="zh-CN"/>
        </w:rPr>
        <w:t xml:space="preserve">                         ENUMERATED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sym2, sym7, sym1x14, sym2x14, sym4x14, sym5x14, sym8x14, sym10x14, sym16x14, sym20x14,</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sym32x14, sym40x14, sym64x14, sym80x14, sym128x14, sym160x14, sym256x14, sym320x14, sym512x14,</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sym640x14, sym1024x14, sym1280x14, sym2560x14, sym5120x14,</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sym6, sym1x12, sym2x12, sym4x12, sym5x12, sym8x12, sym10x12, sym16x12, sym20x12, sym32x12,</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sym40x12, sym64x12, sym80x12, sym128x12, sym160x12, sym256x12, sym320x12, sym512x12, sym640x12,</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sym1280x12, sym2560x12</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configuredGrantTimer                INTEGER (1..64)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TAG-CONFIGUREDGRANTCONFIG-STOP</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ASN1STOP</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lang w:eastAsia="zh-CN"/>
        </w:rPr>
      </w:pPr>
    </w:p>
    <w:p>
      <w:pPr>
        <w:spacing w:before="100" w:beforeAutospacing="1" w:after="100" w:afterAutospacing="1" w:line="257" w:lineRule="auto"/>
        <w:jc w:val="both"/>
        <w:rPr>
          <w:rFonts w:ascii="Times New Roman" w:hAnsi="Times New Roman" w:eastAsia="宋体" w:cs="Times New Roman"/>
          <w:color w:val="000000"/>
          <w:lang w:eastAsia="zh-CN"/>
        </w:rPr>
      </w:pPr>
      <w:r>
        <w:rPr>
          <w:rFonts w:ascii="Times New Roman" w:hAnsi="Times New Roman" w:eastAsia="宋体" w:cs="Times New Roman"/>
          <w:lang w:eastAsia="zh-CN"/>
        </w:rPr>
        <w:t xml:space="preserve">However, the periodicity for XR service is not an integer of a slot or symbol. </w:t>
      </w:r>
      <w:r>
        <w:rPr>
          <w:rFonts w:ascii="Times New Roman" w:hAnsi="Times New Roman" w:eastAsia="宋体" w:cs="Times New Roman"/>
          <w:color w:val="000000"/>
          <w:lang w:eastAsia="zh-CN"/>
        </w:rPr>
        <w:t>Therefore, it is not suitable to configure a CG periodicity to match with the XR UL traffic perfectly. If the periodicity of CG is configured to an integer number of slot or symbol, there will be a gap between XR packet arrival time and CG configuration.</w:t>
      </w:r>
    </w:p>
    <w:p>
      <w:pPr>
        <w:spacing w:before="120" w:after="120"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 xml:space="preserve">Observation 2：There is a gap between XR periodic UL traffic and CG configuration. </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lang w:eastAsia="zh-CN"/>
        </w:rPr>
        <w:t xml:space="preserve">To align with the periodicity of CG and XR traffic, when jitter is not considered for XR services, then UE and gNB know the arrival time of XR traffic according to the periodicity. A straightforward way is to introduce a set of non-integer CG periodicity for XR services (such as 8.33ms, 11.11ms, 16.66ms, 33.33ms), however, non-integer periodicity is not matched with integer symbol or slot and the granularity of symbol or slot is the minimum time unit for data transmission in current specification. To solve the problem, another way can be considered, as show in Figure 2 (take 60 fps as an example), it can be obviously observed that the mismatch issue appears every three arrival intervals. In others words, within 50ms periodicity, there are three packets will be arrived, so pre-defined a fixed transmission pattern of CG within an integer periodicity for XR can be considered. </w:t>
      </w:r>
    </w:p>
    <w:p>
      <w:pPr>
        <w:spacing w:before="100" w:beforeAutospacing="1" w:line="256" w:lineRule="auto"/>
        <w:jc w:val="center"/>
        <w:rPr>
          <w:rFonts w:ascii="Times New Roman" w:hAnsi="Times New Roman" w:eastAsia="宋体" w:cs="Times New Roman"/>
          <w:lang w:eastAsia="zh-CN"/>
        </w:rPr>
      </w:pPr>
      <w:r>
        <w:rPr>
          <w:rFonts w:ascii="Times New Roman" w:hAnsi="Times New Roman" w:eastAsia="宋体" w:cs="Times New Roman"/>
          <w:lang w:eastAsia="zh-CN"/>
        </w:rPr>
        <w:drawing>
          <wp:inline distT="0" distB="0" distL="0" distR="0">
            <wp:extent cx="5115560" cy="1437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201253" cy="1461463"/>
                    </a:xfrm>
                    <a:prstGeom prst="rect">
                      <a:avLst/>
                    </a:prstGeom>
                  </pic:spPr>
                </pic:pic>
              </a:graphicData>
            </a:graphic>
          </wp:inline>
        </w:drawing>
      </w:r>
    </w:p>
    <w:p>
      <w:pPr>
        <w:spacing w:before="100" w:beforeAutospacing="1" w:line="256" w:lineRule="auto"/>
        <w:jc w:val="center"/>
        <w:rPr>
          <w:rFonts w:ascii="Times New Roman" w:hAnsi="Times New Roman" w:eastAsia="宋体" w:cs="Times New Roman"/>
          <w:lang w:eastAsia="zh-CN"/>
        </w:rPr>
      </w:pPr>
      <w:r>
        <w:rPr>
          <w:rFonts w:ascii="Times New Roman" w:hAnsi="Times New Roman" w:eastAsia="宋体" w:cs="Times New Roman"/>
          <w:lang w:eastAsia="zh-CN"/>
        </w:rPr>
        <w:t>Figure 2. Mismatch between DL traffic with 30 fps and CG/SPS with 32ms</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Proposal 6: A fixed transmission pattern of CG within an integer periodicity for XR can be considered.</w:t>
      </w:r>
    </w:p>
    <w:p>
      <w:pPr>
        <w:pStyle w:val="83"/>
        <w:numPr>
          <w:ilvl w:val="0"/>
          <w:numId w:val="16"/>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Additional TOs for CG configuration</w:t>
      </w:r>
    </w:p>
    <w:p>
      <w:pPr>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cs="Times New Roman"/>
          <w:color w:val="000000" w:themeColor="text1"/>
          <w:lang w:eastAsia="zh-CN"/>
          <w14:textFill>
            <w14:solidFill>
              <w14:schemeClr w14:val="tx1"/>
            </w14:solidFill>
          </w14:textFill>
        </w:rPr>
        <w:t xml:space="preserve">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the first TOs within a CG transmission, then UE can transmit a PUSCH on the following TOs within a CG. However, when the XR traffic is arrived after the first TOs within CG transmission occasion, the remaining TOs within a CG configuration may be not enough to carry a packet, scheduling latency will be caused for transmission the remaining portion of the packet if dynamic scheduling mechanism is used. One potential way to solve this problem is to enable UE to indicate the additional TOs after the end of configured TO within the CG period.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7: Additional TOs after the end of configured TO within a CG period can be indicated by UE. </w:t>
      </w:r>
    </w:p>
    <w:p>
      <w:pPr>
        <w:pStyle w:val="83"/>
        <w:numPr>
          <w:ilvl w:val="0"/>
          <w:numId w:val="22"/>
        </w:numPr>
        <w:jc w:val="both"/>
        <w:rPr>
          <w:rFonts w:ascii="Times New Roman" w:hAnsi="Times New Roman" w:cs="Times New Roman"/>
          <w:b/>
          <w:i/>
          <w:lang w:eastAsia="zh-CN"/>
        </w:rPr>
      </w:pPr>
      <w:r>
        <w:rPr>
          <w:rFonts w:ascii="Times New Roman" w:hAnsi="Times New Roman" w:cs="Times New Roman"/>
          <w:b/>
          <w:i/>
          <w:lang w:eastAsia="zh-CN"/>
        </w:rPr>
        <w:t>A CG to support multiple XR traffic flows</w:t>
      </w:r>
    </w:p>
    <w:p>
      <w:pPr>
        <w:pStyle w:val="30"/>
        <w:rPr>
          <w:rFonts w:cs="Times New Roman"/>
          <w:color w:val="auto"/>
          <w:sz w:val="22"/>
        </w:rPr>
      </w:pPr>
      <w:r>
        <w:rPr>
          <w:rFonts w:cs="Times New Roman"/>
          <w:color w:val="auto"/>
          <w:sz w:val="22"/>
          <w:lang w:eastAsia="zh-CN"/>
        </w:rPr>
        <w:t xml:space="preserve">As discussed in the above, XR services may include </w:t>
      </w:r>
      <w:r>
        <w:rPr>
          <w:rFonts w:cs="Times New Roman"/>
          <w:color w:val="auto"/>
          <w:sz w:val="22"/>
        </w:rPr>
        <w:t xml:space="preserve">multiple data streams and the multiple streams may have different traffic characteristics and requirements. For a single CG configured within multiple TOs, a shared MCS cannot be suitable for different characteristics requirement (e.g. reliability) for multiple flows, as a result, multiple TOs within a CG with different MCS can be considered. </w:t>
      </w:r>
    </w:p>
    <w:p>
      <w:pPr>
        <w:pStyle w:val="30"/>
        <w:spacing w:before="120" w:after="120"/>
        <w:rPr>
          <w:rFonts w:cs="Times New Roman"/>
          <w:b/>
          <w:i/>
          <w:color w:val="auto"/>
          <w:sz w:val="22"/>
          <w:lang w:eastAsia="zh-CN"/>
        </w:rPr>
      </w:pPr>
      <w:r>
        <w:rPr>
          <w:rFonts w:cs="Times New Roman"/>
          <w:b/>
          <w:i/>
          <w:color w:val="auto"/>
          <w:sz w:val="22"/>
          <w:lang w:eastAsia="zh-CN"/>
        </w:rPr>
        <w:t>Proposal 8: Multiple TOs within a CG configuration with different MCS for XR can be considered.</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pPr>
        <w:jc w:val="both"/>
        <w:rPr>
          <w:rFonts w:ascii="Times New Roman" w:hAnsi="Times New Roman" w:cs="Times New Roman"/>
          <w:lang w:eastAsia="zh-CN"/>
        </w:rPr>
      </w:pPr>
      <w:r>
        <w:rPr>
          <w:rFonts w:ascii="Times New Roman" w:hAnsi="Times New Roman" w:cs="Times New Roman"/>
          <w:lang w:eastAsia="zh-CN"/>
        </w:rPr>
        <w:t>In this contribution, the following observations and proposals have been made:</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 xml:space="preserve">Observation 1: XR services have the following characteristics. </w:t>
      </w:r>
    </w:p>
    <w:p>
      <w:pPr>
        <w:pStyle w:val="83"/>
        <w:numPr>
          <w:ilvl w:val="0"/>
          <w:numId w:val="1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1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1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19"/>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19"/>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p>
    <w:p>
      <w:pPr>
        <w:jc w:val="both"/>
      </w:pPr>
      <w:r>
        <w:rPr>
          <w:rFonts w:ascii="Times New Roman" w:hAnsi="Times New Roman" w:eastAsia="宋体" w:cs="Times New Roman"/>
          <w:b/>
          <w:i/>
          <w:lang w:eastAsia="zh-CN" w:bidi="ar"/>
        </w:rPr>
        <w:t>Proposal 1:</w:t>
      </w:r>
      <w:r>
        <w:rPr>
          <w:rFonts w:ascii="Times New Roman" w:hAnsi="Times New Roman" w:eastAsia="宋体" w:cs="Times New Roman"/>
          <w:b/>
          <w:lang w:eastAsia="zh-CN" w:bidi="ar"/>
        </w:rPr>
        <w:t xml:space="preserve"> </w:t>
      </w:r>
      <w:r>
        <w:rPr>
          <w:rFonts w:ascii="Times New Roman" w:hAnsi="Times New Roman" w:eastAsia="宋体" w:cs="Times New Roman"/>
          <w:b/>
          <w:i/>
          <w:lang w:eastAsia="zh-CN" w:bidi="ar"/>
        </w:rPr>
        <w:t>The repetition type B like TDRA for multiple TOs within a CG configuration can be considered for XR.</w:t>
      </w:r>
    </w:p>
    <w:p>
      <w:pPr>
        <w:adjustRightInd w:val="0"/>
        <w:snapToGrid w:val="0"/>
        <w:jc w:val="both"/>
        <w:rPr>
          <w:rFonts w:ascii="Times New Roman" w:hAnsi="Times New Roman" w:cs="Times New Roman"/>
          <w:b/>
          <w:i/>
          <w:lang w:eastAsia="zh-CN"/>
        </w:rPr>
      </w:pPr>
      <w:r>
        <w:rPr>
          <w:rFonts w:ascii="Times New Roman" w:hAnsi="Times New Roman" w:cs="Times New Roman"/>
          <w:b/>
          <w:i/>
          <w:lang w:eastAsia="zh-CN"/>
        </w:rPr>
        <w:t xml:space="preserve">Proposal 2: Number of TOs within CG configuration can be indicated by TDRA. </w:t>
      </w:r>
    </w:p>
    <w:p>
      <w:pPr>
        <w:jc w:val="both"/>
        <w:rPr>
          <w:rFonts w:ascii="Times New Roman" w:hAnsi="Times New Roman" w:cs="Times New Roman"/>
          <w:b/>
          <w:i/>
          <w:position w:val="-6"/>
        </w:rPr>
      </w:pPr>
      <w:r>
        <w:rPr>
          <w:rFonts w:ascii="Times New Roman" w:hAnsi="Times New Roman" w:cs="Times New Roman"/>
          <w:b/>
          <w:bCs/>
          <w:i/>
          <w:position w:val="-6"/>
        </w:rPr>
        <w:t xml:space="preserve">Proposal 3: </w:t>
      </w:r>
      <w:r>
        <w:rPr>
          <w:rFonts w:ascii="Times New Roman" w:hAnsi="Times New Roman" w:cs="Times New Roman"/>
          <w:b/>
          <w:i/>
          <w:position w:val="-6"/>
        </w:rPr>
        <w:t>Repetition can also be indicated when multiple TOs are configured within a CG configuration.</w:t>
      </w:r>
    </w:p>
    <w:p>
      <w:pPr>
        <w:pStyle w:val="83"/>
        <w:spacing w:before="120" w:beforeLines="50" w:after="120" w:afterLines="50"/>
        <w:ind w:left="0"/>
        <w:jc w:val="both"/>
        <w:rPr>
          <w:rFonts w:ascii="Times New Roman" w:hAnsi="Times New Roman" w:eastAsia="宋体" w:cs="Times New Roman"/>
          <w:b/>
          <w:i/>
          <w:lang w:eastAsia="zh-CN" w:bidi="ar"/>
        </w:rPr>
      </w:pPr>
      <w:r>
        <w:rPr>
          <w:rFonts w:ascii="Times New Roman" w:hAnsi="Times New Roman" w:eastAsia="宋体" w:cs="Times New Roman"/>
          <w:b/>
          <w:i/>
          <w:lang w:eastAsia="zh-CN" w:bidi="ar"/>
        </w:rPr>
        <w:t xml:space="preserve">Proposal 4: For XR, when multiple TOs within a CG is configured, then the HARQ-ID for all TOs should be </w:t>
      </w:r>
      <w:r>
        <w:rPr>
          <w:rFonts w:hint="eastAsia" w:ascii="Times New Roman" w:hAnsi="Times New Roman" w:eastAsia="宋体" w:cs="Times New Roman"/>
          <w:b/>
          <w:i/>
          <w:lang w:val="en-US" w:eastAsia="zh-CN" w:bidi="ar"/>
        </w:rPr>
        <w:t>determined</w:t>
      </w:r>
      <w:r>
        <w:rPr>
          <w:rFonts w:ascii="Times New Roman" w:hAnsi="Times New Roman" w:eastAsia="宋体" w:cs="Times New Roman"/>
          <w:b/>
          <w:i/>
          <w:lang w:eastAsia="zh-CN" w:bidi="ar"/>
        </w:rPr>
        <w:t xml:space="preserve"> independently.</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5: A new type of UCI can be used to indicate the unused TOs within a CG configuration. </w:t>
      </w:r>
    </w:p>
    <w:p>
      <w:pPr>
        <w:jc w:val="both"/>
      </w:pPr>
      <w:r>
        <w:rPr>
          <w:rFonts w:ascii="Times New Roman" w:hAnsi="Times New Roman" w:eastAsia="宋体" w:cs="Times New Roman"/>
          <w:b/>
          <w:i/>
          <w:lang w:eastAsia="zh-CN"/>
        </w:rPr>
        <w:t>Observation 2：There is a gap between XR periodic UL traffic and CG configuration.</w:t>
      </w:r>
    </w:p>
    <w:p>
      <w:pPr>
        <w:jc w:val="both"/>
        <w:rPr>
          <w:rFonts w:ascii="Times New Roman" w:hAnsi="Times New Roman" w:cs="Times New Roman"/>
          <w:lang w:eastAsia="zh-CN"/>
        </w:rPr>
      </w:pPr>
      <w:r>
        <w:rPr>
          <w:rFonts w:ascii="Times New Roman" w:hAnsi="Times New Roman" w:eastAsia="宋体" w:cs="Times New Roman"/>
          <w:b/>
          <w:i/>
          <w:lang w:eastAsia="zh-CN"/>
        </w:rPr>
        <w:t>Proposal 6: A fixed transmission pattern of CG within an integer periodicity for XR can be considered.</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7: Additional TOs after the end of configured TO within a CG period can be indicated by UE. </w:t>
      </w:r>
    </w:p>
    <w:p>
      <w:pPr>
        <w:pStyle w:val="30"/>
        <w:spacing w:before="120" w:after="120"/>
        <w:rPr>
          <w:rFonts w:cs="Times New Roman"/>
          <w:b/>
          <w:i/>
          <w:color w:val="auto"/>
          <w:sz w:val="22"/>
          <w:lang w:eastAsia="zh-CN"/>
        </w:rPr>
      </w:pPr>
      <w:r>
        <w:rPr>
          <w:rFonts w:cs="Times New Roman"/>
          <w:b/>
          <w:i/>
          <w:color w:val="auto"/>
          <w:sz w:val="22"/>
          <w:lang w:eastAsia="zh-CN"/>
        </w:rPr>
        <w:t>Proposal 8: Multiple TOs within a CG configuration with different MCS for XR can be considered.</w:t>
      </w:r>
    </w:p>
    <w:p>
      <w:pPr>
        <w:pStyle w:val="3"/>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References</w:t>
      </w:r>
    </w:p>
    <w:p>
      <w:pPr>
        <w:spacing w:after="0" w:line="264" w:lineRule="auto"/>
        <w:jc w:val="both"/>
        <w:rPr>
          <w:rFonts w:ascii="Times New Roman" w:hAnsi="Times New Roman" w:cs="Times New Roman"/>
          <w:lang w:eastAsia="zh-CN"/>
        </w:rPr>
      </w:pPr>
      <w:r>
        <w:rPr>
          <w:rFonts w:ascii="Times New Roman" w:hAnsi="Times New Roman" w:eastAsia="Calibri" w:cs="Times New Roman"/>
        </w:rPr>
        <w:t>[1]</w:t>
      </w:r>
      <w:r>
        <w:rPr>
          <w:rFonts w:ascii="Times New Roman" w:hAnsi="Times New Roman" w:eastAsia="宋体" w:cs="Times New Roman"/>
          <w:lang w:eastAsia="zh-CN"/>
        </w:rPr>
        <w:t xml:space="preserve"> RP-223502, </w:t>
      </w:r>
      <w:r>
        <w:rPr>
          <w:rFonts w:ascii="Times New Roman" w:hAnsi="Times New Roman" w:eastAsia="Batang" w:cs="Times New Roman"/>
          <w:lang w:eastAsia="zh-CN" w:bidi="ar"/>
        </w:rPr>
        <w:t>New WID on XR Enhancements for NR</w:t>
      </w:r>
      <w:r>
        <w:rPr>
          <w:rFonts w:hint="eastAsia" w:ascii="Times New Roman" w:hAnsi="Times New Roman" w:eastAsia="Batang" w:cs="Times New Roman"/>
          <w:lang w:val="en-US" w:eastAsia="zh-CN" w:bidi="ar"/>
        </w:rPr>
        <w:t>.</w:t>
      </w:r>
      <w:bookmarkStart w:id="4" w:name="_GoBack"/>
      <w:bookmarkEnd w:id="4"/>
      <w:r>
        <w:rPr>
          <w:rFonts w:ascii="Times New Roman" w:hAnsi="Times New Roman" w:eastAsia="Batang" w:cs="Times New Roman"/>
          <w:lang w:eastAsia="zh-CN" w:bidi="ar"/>
        </w:rPr>
        <w:t xml:space="preserve"> Nokia, Qualcomm.</w:t>
      </w:r>
      <w:r>
        <w:rPr>
          <w:rFonts w:ascii="Times New Roman" w:hAnsi="Times New Roman" w:eastAsia="Batang" w:cs="Times New Roman"/>
          <w:b/>
          <w:lang w:eastAsia="zh-CN" w:bidi="ar"/>
        </w:rPr>
        <w:t xml:space="preserve"> </w:t>
      </w:r>
    </w:p>
    <w:p>
      <w:pPr>
        <w:spacing w:after="0" w:line="264" w:lineRule="auto"/>
        <w:jc w:val="both"/>
        <w:rPr>
          <w:rFonts w:ascii="Times New Roman" w:hAnsi="Times New Roman" w:cs="Times New Roman"/>
        </w:rPr>
      </w:pPr>
      <w:r>
        <w:rPr>
          <w:rFonts w:ascii="Times New Roman" w:hAnsi="Times New Roman" w:eastAsia="Batang" w:cs="Times New Roman"/>
          <w:lang w:eastAsia="zh-CN"/>
        </w:rPr>
        <w:t xml:space="preserve">[2] TR 38.838, </w:t>
      </w:r>
      <w:r>
        <w:rPr>
          <w:rFonts w:ascii="Times New Roman" w:hAnsi="Times New Roman" w:cs="Times New Roman"/>
        </w:rPr>
        <w:t xml:space="preserve">Study on XR (Extended Reality) Evaluations for NR. </w:t>
      </w:r>
    </w:p>
    <w:p>
      <w:pPr>
        <w:spacing w:after="0" w:line="264" w:lineRule="auto"/>
        <w:jc w:val="both"/>
        <w:rPr>
          <w:rFonts w:ascii="Times New Roman" w:hAnsi="Times New Roman" w:cs="Times New Roman"/>
          <w:lang w:eastAsia="zh-CN"/>
        </w:rPr>
      </w:pPr>
      <w:r>
        <w:rPr>
          <w:rFonts w:ascii="Times New Roman" w:hAnsi="Times New Roman" w:eastAsia="Calibri" w:cs="Times New Roman"/>
        </w:rPr>
        <w:t>[</w:t>
      </w:r>
      <w:r>
        <w:rPr>
          <w:rFonts w:ascii="Times New Roman" w:hAnsi="Times New Roman" w:eastAsia="宋体" w:cs="Times New Roman"/>
          <w:lang w:eastAsia="zh-CN"/>
        </w:rPr>
        <w:t>3</w:t>
      </w:r>
      <w:r>
        <w:rPr>
          <w:rFonts w:ascii="Times New Roman" w:hAnsi="Times New Roman" w:eastAsia="Calibri" w:cs="Times New Roman"/>
        </w:rPr>
        <w:t xml:space="preserve">] </w:t>
      </w:r>
      <w:r>
        <w:rPr>
          <w:rFonts w:ascii="Times New Roman" w:hAnsi="Times New Roman" w:cs="Times New Roman"/>
          <w:lang w:eastAsia="zh-CN"/>
        </w:rPr>
        <w:t>3GPP RAN1 #111 meeting, Chairman notes.</w:t>
      </w:r>
      <w:r>
        <w:rPr>
          <w:rFonts w:ascii="Times New Roman" w:hAnsi="Times New Roman" w:eastAsia="Batang" w:cs="Times New Roman"/>
          <w:lang w:eastAsia="zh-CN"/>
        </w:rPr>
        <w:t xml:space="preserve"> </w:t>
      </w:r>
    </w:p>
    <w:p>
      <w:pPr>
        <w:spacing w:after="0" w:line="264" w:lineRule="auto"/>
        <w:jc w:val="both"/>
        <w:rPr>
          <w:rFonts w:ascii="Times New Roman" w:hAnsi="Times New Roman" w:cs="Times New Roman"/>
        </w:rPr>
      </w:pPr>
    </w:p>
    <w:p>
      <w:pPr>
        <w:spacing w:after="0" w:line="264" w:lineRule="auto"/>
        <w:jc w:val="both"/>
        <w:rPr>
          <w:rFonts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auto"/>
    <w:pitch w:val="default"/>
    <w:sig w:usb0="00000000" w:usb1="00000000" w:usb2="00000001" w:usb3="00000000" w:csb0="000001B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E27331"/>
    <w:multiLevelType w:val="multilevel"/>
    <w:tmpl w:val="A9E27331"/>
    <w:lvl w:ilvl="0" w:tentative="0">
      <w:start w:val="1"/>
      <w:numFmt w:val="bullet"/>
      <w:lvlText w:val="-"/>
      <w:lvlJc w:val="left"/>
      <w:pPr>
        <w:ind w:left="420" w:hanging="420"/>
      </w:pPr>
      <w:rPr>
        <w:rFonts w:hint="default" w:ascii="Calibri" w:hAnsi="Calibri" w:eastAsia="Times New Roman" w:cs="Times New Roman"/>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2">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3">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4">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5">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7">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8">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10">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1">
    <w:nsid w:val="023A14E7"/>
    <w:multiLevelType w:val="multilevel"/>
    <w:tmpl w:val="023A14E7"/>
    <w:lvl w:ilvl="0" w:tentative="0">
      <w:start w:val="1"/>
      <w:numFmt w:val="bullet"/>
      <w:lvlText w:val=""/>
      <w:lvlJc w:val="left"/>
      <w:pPr>
        <w:ind w:left="420" w:hanging="420"/>
      </w:pPr>
      <w:rPr>
        <w:rFonts w:hint="default" w:ascii="Symbol" w:hAnsi="Symbol" w:eastAsia="MS Minch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17E84574"/>
    <w:multiLevelType w:val="multilevel"/>
    <w:tmpl w:val="17E8457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1463BD9"/>
    <w:multiLevelType w:val="multilevel"/>
    <w:tmpl w:val="21463BD9"/>
    <w:lvl w:ilvl="0" w:tentative="0">
      <w:start w:val="8"/>
      <w:numFmt w:val="bullet"/>
      <w:lvlText w:val="-"/>
      <w:lvlJc w:val="left"/>
      <w:pPr>
        <w:ind w:left="840" w:hanging="420"/>
      </w:pPr>
      <w:rPr>
        <w:rFonts w:hint="default" w:ascii="Arial" w:hAnsi="Arial" w:eastAsia="Malgun Gothic"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2FB0335A"/>
    <w:multiLevelType w:val="multilevel"/>
    <w:tmpl w:val="2FB0335A"/>
    <w:lvl w:ilvl="0" w:tentative="0">
      <w:start w:val="8"/>
      <w:numFmt w:val="bullet"/>
      <w:lvlText w:val="-"/>
      <w:lvlJc w:val="left"/>
      <w:pPr>
        <w:ind w:left="1140" w:hanging="420"/>
      </w:pPr>
      <w:rPr>
        <w:rFonts w:hint="default" w:ascii="Arial" w:hAnsi="Arial" w:eastAsia="Malgun Gothic" w:cs="Aria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5">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7">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9452116"/>
    <w:multiLevelType w:val="multilevel"/>
    <w:tmpl w:val="49452116"/>
    <w:lvl w:ilvl="0" w:tentative="0">
      <w:start w:val="1"/>
      <w:numFmt w:val="bullet"/>
      <w:lvlText w:val=""/>
      <w:lvlJc w:val="left"/>
      <w:pPr>
        <w:ind w:left="420" w:hanging="420"/>
      </w:pPr>
      <w:rPr>
        <w:rFonts w:hint="default" w:ascii="Symbol" w:hAnsi="Symbol" w:eastAsia="MS Minch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0">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1">
    <w:nsid w:val="776D6CD5"/>
    <w:multiLevelType w:val="multilevel"/>
    <w:tmpl w:val="776D6CD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6"/>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17"/>
  </w:num>
  <w:num w:numId="13">
    <w:abstractNumId w:val="19"/>
  </w:num>
  <w:num w:numId="14">
    <w:abstractNumId w:val="20"/>
  </w:num>
  <w:num w:numId="15">
    <w:abstractNumId w:val="15"/>
  </w:num>
  <w:num w:numId="16">
    <w:abstractNumId w:val="12"/>
  </w:num>
  <w:num w:numId="17">
    <w:abstractNumId w:val="21"/>
  </w:num>
  <w:num w:numId="18">
    <w:abstractNumId w:val="14"/>
  </w:num>
  <w:num w:numId="19">
    <w:abstractNumId w:val="13"/>
  </w:num>
  <w:num w:numId="20">
    <w:abstractNumId w:val="11"/>
  </w:num>
  <w:num w:numId="21">
    <w:abstractNumId w:val="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1"/>
  <w:bordersDoNotSurroundFooter w:val="1"/>
  <w:documentProtection w:enforcement="0"/>
  <w:defaultTabStop w:val="720"/>
  <w:hyphenationZone w:val="425"/>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0C6D"/>
    <w:rsid w:val="00001D7E"/>
    <w:rsid w:val="0000259A"/>
    <w:rsid w:val="000031AE"/>
    <w:rsid w:val="000070CC"/>
    <w:rsid w:val="00010261"/>
    <w:rsid w:val="000121C8"/>
    <w:rsid w:val="000127C2"/>
    <w:rsid w:val="000140CD"/>
    <w:rsid w:val="00014857"/>
    <w:rsid w:val="0001600B"/>
    <w:rsid w:val="00022C16"/>
    <w:rsid w:val="00023008"/>
    <w:rsid w:val="000320A6"/>
    <w:rsid w:val="00032102"/>
    <w:rsid w:val="000367B4"/>
    <w:rsid w:val="0005082B"/>
    <w:rsid w:val="00050AC7"/>
    <w:rsid w:val="00050E9C"/>
    <w:rsid w:val="00054054"/>
    <w:rsid w:val="000560CB"/>
    <w:rsid w:val="00061344"/>
    <w:rsid w:val="00065EA4"/>
    <w:rsid w:val="00066C9B"/>
    <w:rsid w:val="0007190C"/>
    <w:rsid w:val="00082011"/>
    <w:rsid w:val="00086CF3"/>
    <w:rsid w:val="000878A1"/>
    <w:rsid w:val="00090BE1"/>
    <w:rsid w:val="00093A1E"/>
    <w:rsid w:val="00093E54"/>
    <w:rsid w:val="000946D7"/>
    <w:rsid w:val="0009722B"/>
    <w:rsid w:val="00097B64"/>
    <w:rsid w:val="000A3D8A"/>
    <w:rsid w:val="000A437C"/>
    <w:rsid w:val="000A542E"/>
    <w:rsid w:val="000A5783"/>
    <w:rsid w:val="000A751F"/>
    <w:rsid w:val="000B2EAF"/>
    <w:rsid w:val="000B62DF"/>
    <w:rsid w:val="000C41DF"/>
    <w:rsid w:val="000C439F"/>
    <w:rsid w:val="000C71DE"/>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270B2"/>
    <w:rsid w:val="001309E6"/>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6A30"/>
    <w:rsid w:val="001871CF"/>
    <w:rsid w:val="001904C2"/>
    <w:rsid w:val="00190CC7"/>
    <w:rsid w:val="0019154D"/>
    <w:rsid w:val="001943DD"/>
    <w:rsid w:val="00195153"/>
    <w:rsid w:val="001A08BE"/>
    <w:rsid w:val="001A182F"/>
    <w:rsid w:val="001A2911"/>
    <w:rsid w:val="001A374C"/>
    <w:rsid w:val="001A5E1F"/>
    <w:rsid w:val="001B4E0F"/>
    <w:rsid w:val="001B6F74"/>
    <w:rsid w:val="001C26D4"/>
    <w:rsid w:val="001C5F63"/>
    <w:rsid w:val="001C69D7"/>
    <w:rsid w:val="001D142D"/>
    <w:rsid w:val="001D1FFE"/>
    <w:rsid w:val="001D3F0E"/>
    <w:rsid w:val="001D4027"/>
    <w:rsid w:val="001D53B9"/>
    <w:rsid w:val="001D6925"/>
    <w:rsid w:val="001E0D41"/>
    <w:rsid w:val="001E2E56"/>
    <w:rsid w:val="001E3AAB"/>
    <w:rsid w:val="001E5F72"/>
    <w:rsid w:val="001E6711"/>
    <w:rsid w:val="001F4D48"/>
    <w:rsid w:val="001F7221"/>
    <w:rsid w:val="00206CA3"/>
    <w:rsid w:val="00210F91"/>
    <w:rsid w:val="00215C2B"/>
    <w:rsid w:val="00216E1B"/>
    <w:rsid w:val="002178DC"/>
    <w:rsid w:val="0022013A"/>
    <w:rsid w:val="00221BF5"/>
    <w:rsid w:val="002230BA"/>
    <w:rsid w:val="00223293"/>
    <w:rsid w:val="002266D9"/>
    <w:rsid w:val="002313ED"/>
    <w:rsid w:val="00232A9B"/>
    <w:rsid w:val="0023725D"/>
    <w:rsid w:val="0024082D"/>
    <w:rsid w:val="002423BD"/>
    <w:rsid w:val="0024246C"/>
    <w:rsid w:val="00242C82"/>
    <w:rsid w:val="00242CA2"/>
    <w:rsid w:val="00244F9D"/>
    <w:rsid w:val="00246018"/>
    <w:rsid w:val="00255689"/>
    <w:rsid w:val="002609FB"/>
    <w:rsid w:val="002610BF"/>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4F0F"/>
    <w:rsid w:val="002953EF"/>
    <w:rsid w:val="002A057C"/>
    <w:rsid w:val="002B118E"/>
    <w:rsid w:val="002B4B0D"/>
    <w:rsid w:val="002B5B89"/>
    <w:rsid w:val="002C1788"/>
    <w:rsid w:val="002C23C2"/>
    <w:rsid w:val="002C3AC7"/>
    <w:rsid w:val="002C4687"/>
    <w:rsid w:val="002C6DF2"/>
    <w:rsid w:val="002D235E"/>
    <w:rsid w:val="002D283A"/>
    <w:rsid w:val="002E0740"/>
    <w:rsid w:val="002E5381"/>
    <w:rsid w:val="002E7FC6"/>
    <w:rsid w:val="002F26EA"/>
    <w:rsid w:val="002F3959"/>
    <w:rsid w:val="003003F6"/>
    <w:rsid w:val="00311150"/>
    <w:rsid w:val="003130AC"/>
    <w:rsid w:val="00313AC6"/>
    <w:rsid w:val="003155F2"/>
    <w:rsid w:val="00315D8E"/>
    <w:rsid w:val="00316B10"/>
    <w:rsid w:val="00320C73"/>
    <w:rsid w:val="00333C51"/>
    <w:rsid w:val="00334494"/>
    <w:rsid w:val="0033688D"/>
    <w:rsid w:val="003371BB"/>
    <w:rsid w:val="0033754D"/>
    <w:rsid w:val="003410B4"/>
    <w:rsid w:val="003426E2"/>
    <w:rsid w:val="00344B98"/>
    <w:rsid w:val="003463FA"/>
    <w:rsid w:val="00353E26"/>
    <w:rsid w:val="003549B4"/>
    <w:rsid w:val="00356374"/>
    <w:rsid w:val="00361469"/>
    <w:rsid w:val="00361FB7"/>
    <w:rsid w:val="00362BC7"/>
    <w:rsid w:val="003634FB"/>
    <w:rsid w:val="0036435F"/>
    <w:rsid w:val="00364C66"/>
    <w:rsid w:val="00365863"/>
    <w:rsid w:val="00373854"/>
    <w:rsid w:val="003758F0"/>
    <w:rsid w:val="00377010"/>
    <w:rsid w:val="003818CF"/>
    <w:rsid w:val="0038322C"/>
    <w:rsid w:val="00383391"/>
    <w:rsid w:val="00386220"/>
    <w:rsid w:val="00386240"/>
    <w:rsid w:val="0038642C"/>
    <w:rsid w:val="00386CD1"/>
    <w:rsid w:val="00386E0B"/>
    <w:rsid w:val="003922E9"/>
    <w:rsid w:val="003923A1"/>
    <w:rsid w:val="003925F8"/>
    <w:rsid w:val="00397816"/>
    <w:rsid w:val="003A207B"/>
    <w:rsid w:val="003A5967"/>
    <w:rsid w:val="003B46DC"/>
    <w:rsid w:val="003B6025"/>
    <w:rsid w:val="003C3EDB"/>
    <w:rsid w:val="003C46D2"/>
    <w:rsid w:val="003C4CA0"/>
    <w:rsid w:val="003C79E7"/>
    <w:rsid w:val="003D0840"/>
    <w:rsid w:val="003D2CEF"/>
    <w:rsid w:val="003D2EBB"/>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2F6D"/>
    <w:rsid w:val="00414317"/>
    <w:rsid w:val="00415752"/>
    <w:rsid w:val="00422CD5"/>
    <w:rsid w:val="00425B80"/>
    <w:rsid w:val="004310DC"/>
    <w:rsid w:val="004314B1"/>
    <w:rsid w:val="00431775"/>
    <w:rsid w:val="00431786"/>
    <w:rsid w:val="004347C7"/>
    <w:rsid w:val="004364F3"/>
    <w:rsid w:val="004377DA"/>
    <w:rsid w:val="00441CC8"/>
    <w:rsid w:val="00442F9B"/>
    <w:rsid w:val="00453C3A"/>
    <w:rsid w:val="004558B9"/>
    <w:rsid w:val="004567C5"/>
    <w:rsid w:val="004576C5"/>
    <w:rsid w:val="004578A9"/>
    <w:rsid w:val="00457E1C"/>
    <w:rsid w:val="00462597"/>
    <w:rsid w:val="00463183"/>
    <w:rsid w:val="00466544"/>
    <w:rsid w:val="004704B6"/>
    <w:rsid w:val="00473E2E"/>
    <w:rsid w:val="00474B05"/>
    <w:rsid w:val="00475D96"/>
    <w:rsid w:val="00481B58"/>
    <w:rsid w:val="00484A04"/>
    <w:rsid w:val="00484CAD"/>
    <w:rsid w:val="00492DB4"/>
    <w:rsid w:val="00494EE6"/>
    <w:rsid w:val="00495A88"/>
    <w:rsid w:val="004A0B46"/>
    <w:rsid w:val="004A3B99"/>
    <w:rsid w:val="004A3FB1"/>
    <w:rsid w:val="004B623E"/>
    <w:rsid w:val="004B6A9A"/>
    <w:rsid w:val="004B79F3"/>
    <w:rsid w:val="004C1B10"/>
    <w:rsid w:val="004C1DEF"/>
    <w:rsid w:val="004C2245"/>
    <w:rsid w:val="004C2286"/>
    <w:rsid w:val="004C58F9"/>
    <w:rsid w:val="004D09E1"/>
    <w:rsid w:val="004D100F"/>
    <w:rsid w:val="004E1ED0"/>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5CD2"/>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57D06"/>
    <w:rsid w:val="0056297E"/>
    <w:rsid w:val="00565774"/>
    <w:rsid w:val="005743B2"/>
    <w:rsid w:val="00580C11"/>
    <w:rsid w:val="00584049"/>
    <w:rsid w:val="00584D06"/>
    <w:rsid w:val="005861D0"/>
    <w:rsid w:val="0058673B"/>
    <w:rsid w:val="00586EB6"/>
    <w:rsid w:val="005912D1"/>
    <w:rsid w:val="00594ACE"/>
    <w:rsid w:val="00595921"/>
    <w:rsid w:val="00595D3C"/>
    <w:rsid w:val="005A047C"/>
    <w:rsid w:val="005A12D9"/>
    <w:rsid w:val="005A273E"/>
    <w:rsid w:val="005A2911"/>
    <w:rsid w:val="005A321E"/>
    <w:rsid w:val="005A5D47"/>
    <w:rsid w:val="005B28B0"/>
    <w:rsid w:val="005B413D"/>
    <w:rsid w:val="005B6395"/>
    <w:rsid w:val="005C04C4"/>
    <w:rsid w:val="005C07BF"/>
    <w:rsid w:val="005C60B7"/>
    <w:rsid w:val="005C655D"/>
    <w:rsid w:val="005C688B"/>
    <w:rsid w:val="005C78B7"/>
    <w:rsid w:val="005C7BCB"/>
    <w:rsid w:val="005D5DD2"/>
    <w:rsid w:val="005D658A"/>
    <w:rsid w:val="005D6DB0"/>
    <w:rsid w:val="005F0362"/>
    <w:rsid w:val="005F1BAC"/>
    <w:rsid w:val="005F2C07"/>
    <w:rsid w:val="005F3F53"/>
    <w:rsid w:val="005F4E75"/>
    <w:rsid w:val="005F64D1"/>
    <w:rsid w:val="00600E7B"/>
    <w:rsid w:val="00606F0F"/>
    <w:rsid w:val="00607873"/>
    <w:rsid w:val="006101F4"/>
    <w:rsid w:val="00610DEE"/>
    <w:rsid w:val="006116B9"/>
    <w:rsid w:val="006137D6"/>
    <w:rsid w:val="0061637C"/>
    <w:rsid w:val="006206D8"/>
    <w:rsid w:val="00621E48"/>
    <w:rsid w:val="00623137"/>
    <w:rsid w:val="00623DE1"/>
    <w:rsid w:val="0062471C"/>
    <w:rsid w:val="006249F9"/>
    <w:rsid w:val="00625071"/>
    <w:rsid w:val="006259B5"/>
    <w:rsid w:val="00626A32"/>
    <w:rsid w:val="0063392A"/>
    <w:rsid w:val="0064132E"/>
    <w:rsid w:val="00643FB4"/>
    <w:rsid w:val="00650278"/>
    <w:rsid w:val="00650D9E"/>
    <w:rsid w:val="0065110A"/>
    <w:rsid w:val="00654098"/>
    <w:rsid w:val="006548A0"/>
    <w:rsid w:val="00657430"/>
    <w:rsid w:val="00657DE4"/>
    <w:rsid w:val="00662BB9"/>
    <w:rsid w:val="00671599"/>
    <w:rsid w:val="0067254A"/>
    <w:rsid w:val="00672AFF"/>
    <w:rsid w:val="00673AFD"/>
    <w:rsid w:val="00674B29"/>
    <w:rsid w:val="00674D30"/>
    <w:rsid w:val="00675CBB"/>
    <w:rsid w:val="006778E8"/>
    <w:rsid w:val="00677F10"/>
    <w:rsid w:val="00681C16"/>
    <w:rsid w:val="00683F77"/>
    <w:rsid w:val="006840E4"/>
    <w:rsid w:val="006855F1"/>
    <w:rsid w:val="00685CE6"/>
    <w:rsid w:val="00686742"/>
    <w:rsid w:val="00691433"/>
    <w:rsid w:val="006955F6"/>
    <w:rsid w:val="006970B6"/>
    <w:rsid w:val="006A3CE6"/>
    <w:rsid w:val="006A4C16"/>
    <w:rsid w:val="006A5862"/>
    <w:rsid w:val="006A7AA4"/>
    <w:rsid w:val="006B12D0"/>
    <w:rsid w:val="006B195F"/>
    <w:rsid w:val="006B30B2"/>
    <w:rsid w:val="006B3808"/>
    <w:rsid w:val="006B4A4A"/>
    <w:rsid w:val="006B589F"/>
    <w:rsid w:val="006C27BC"/>
    <w:rsid w:val="006C320E"/>
    <w:rsid w:val="006C3803"/>
    <w:rsid w:val="006C5C1E"/>
    <w:rsid w:val="006C63F1"/>
    <w:rsid w:val="006D0586"/>
    <w:rsid w:val="006D303A"/>
    <w:rsid w:val="006D33AF"/>
    <w:rsid w:val="006D7E67"/>
    <w:rsid w:val="006E3A46"/>
    <w:rsid w:val="006F28CD"/>
    <w:rsid w:val="006F38D0"/>
    <w:rsid w:val="006F4316"/>
    <w:rsid w:val="006F5168"/>
    <w:rsid w:val="006F5A97"/>
    <w:rsid w:val="00700919"/>
    <w:rsid w:val="00701A90"/>
    <w:rsid w:val="00704270"/>
    <w:rsid w:val="0070471C"/>
    <w:rsid w:val="007052F1"/>
    <w:rsid w:val="007067A7"/>
    <w:rsid w:val="007072ED"/>
    <w:rsid w:val="007073CA"/>
    <w:rsid w:val="00710809"/>
    <w:rsid w:val="0071184E"/>
    <w:rsid w:val="007125E6"/>
    <w:rsid w:val="00714BD2"/>
    <w:rsid w:val="007158A4"/>
    <w:rsid w:val="0072008B"/>
    <w:rsid w:val="007205DB"/>
    <w:rsid w:val="00730119"/>
    <w:rsid w:val="0073632C"/>
    <w:rsid w:val="00737E85"/>
    <w:rsid w:val="00743146"/>
    <w:rsid w:val="00745334"/>
    <w:rsid w:val="00745E1C"/>
    <w:rsid w:val="00750BFB"/>
    <w:rsid w:val="0075342C"/>
    <w:rsid w:val="00753D2C"/>
    <w:rsid w:val="007613F8"/>
    <w:rsid w:val="007616EC"/>
    <w:rsid w:val="00763BBD"/>
    <w:rsid w:val="00764B28"/>
    <w:rsid w:val="00764D5C"/>
    <w:rsid w:val="00765839"/>
    <w:rsid w:val="00765A3B"/>
    <w:rsid w:val="00767B7A"/>
    <w:rsid w:val="0077562D"/>
    <w:rsid w:val="00775E2B"/>
    <w:rsid w:val="007773AF"/>
    <w:rsid w:val="0077781A"/>
    <w:rsid w:val="007837F2"/>
    <w:rsid w:val="007867C9"/>
    <w:rsid w:val="00786E51"/>
    <w:rsid w:val="00787079"/>
    <w:rsid w:val="007879BB"/>
    <w:rsid w:val="00787BE3"/>
    <w:rsid w:val="0079693F"/>
    <w:rsid w:val="007969B3"/>
    <w:rsid w:val="007A0793"/>
    <w:rsid w:val="007A1217"/>
    <w:rsid w:val="007A49DD"/>
    <w:rsid w:val="007A7A49"/>
    <w:rsid w:val="007B2077"/>
    <w:rsid w:val="007B21B8"/>
    <w:rsid w:val="007B6C51"/>
    <w:rsid w:val="007B946E"/>
    <w:rsid w:val="007C153B"/>
    <w:rsid w:val="007C1B3A"/>
    <w:rsid w:val="007C2444"/>
    <w:rsid w:val="007C2B79"/>
    <w:rsid w:val="007C30D5"/>
    <w:rsid w:val="007C5239"/>
    <w:rsid w:val="007C6BF3"/>
    <w:rsid w:val="007D3064"/>
    <w:rsid w:val="007D47ED"/>
    <w:rsid w:val="007D4D0E"/>
    <w:rsid w:val="007D50DB"/>
    <w:rsid w:val="007D58C7"/>
    <w:rsid w:val="007D5DF8"/>
    <w:rsid w:val="007E0603"/>
    <w:rsid w:val="007E23F5"/>
    <w:rsid w:val="007E4BD2"/>
    <w:rsid w:val="007F705A"/>
    <w:rsid w:val="00802A3C"/>
    <w:rsid w:val="00803307"/>
    <w:rsid w:val="008060C5"/>
    <w:rsid w:val="0080629E"/>
    <w:rsid w:val="008071EC"/>
    <w:rsid w:val="00810832"/>
    <w:rsid w:val="00813438"/>
    <w:rsid w:val="00815760"/>
    <w:rsid w:val="00830C27"/>
    <w:rsid w:val="008347D1"/>
    <w:rsid w:val="00841DE6"/>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B3FB6"/>
    <w:rsid w:val="008C50DB"/>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21C2"/>
    <w:rsid w:val="00914911"/>
    <w:rsid w:val="00917297"/>
    <w:rsid w:val="00930C1D"/>
    <w:rsid w:val="00930CF8"/>
    <w:rsid w:val="0093334F"/>
    <w:rsid w:val="0093400F"/>
    <w:rsid w:val="009365C9"/>
    <w:rsid w:val="009366A8"/>
    <w:rsid w:val="009366C3"/>
    <w:rsid w:val="00943E59"/>
    <w:rsid w:val="0094423A"/>
    <w:rsid w:val="00944308"/>
    <w:rsid w:val="0094641D"/>
    <w:rsid w:val="009528EC"/>
    <w:rsid w:val="009605D8"/>
    <w:rsid w:val="0096751E"/>
    <w:rsid w:val="00970AC8"/>
    <w:rsid w:val="00974B9C"/>
    <w:rsid w:val="00982101"/>
    <w:rsid w:val="009833F2"/>
    <w:rsid w:val="0098697C"/>
    <w:rsid w:val="009874D5"/>
    <w:rsid w:val="0099165C"/>
    <w:rsid w:val="009B0039"/>
    <w:rsid w:val="009B08C9"/>
    <w:rsid w:val="009B2231"/>
    <w:rsid w:val="009B5E5C"/>
    <w:rsid w:val="009B6C15"/>
    <w:rsid w:val="009C433B"/>
    <w:rsid w:val="009C6D4C"/>
    <w:rsid w:val="009D09B3"/>
    <w:rsid w:val="009D0FBF"/>
    <w:rsid w:val="009E1D5A"/>
    <w:rsid w:val="009E4361"/>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249C9"/>
    <w:rsid w:val="00A30796"/>
    <w:rsid w:val="00A32785"/>
    <w:rsid w:val="00A32A1F"/>
    <w:rsid w:val="00A34777"/>
    <w:rsid w:val="00A34842"/>
    <w:rsid w:val="00A35E78"/>
    <w:rsid w:val="00A35FB0"/>
    <w:rsid w:val="00A36A6B"/>
    <w:rsid w:val="00A36AB6"/>
    <w:rsid w:val="00A412FA"/>
    <w:rsid w:val="00A46EC1"/>
    <w:rsid w:val="00A50C39"/>
    <w:rsid w:val="00A54F92"/>
    <w:rsid w:val="00A557A0"/>
    <w:rsid w:val="00A60527"/>
    <w:rsid w:val="00A72116"/>
    <w:rsid w:val="00A828CA"/>
    <w:rsid w:val="00A84F72"/>
    <w:rsid w:val="00A859D9"/>
    <w:rsid w:val="00A86289"/>
    <w:rsid w:val="00A90F50"/>
    <w:rsid w:val="00A91DC7"/>
    <w:rsid w:val="00A94327"/>
    <w:rsid w:val="00A94330"/>
    <w:rsid w:val="00A96451"/>
    <w:rsid w:val="00AA0736"/>
    <w:rsid w:val="00AA513F"/>
    <w:rsid w:val="00AA67C6"/>
    <w:rsid w:val="00AB02CB"/>
    <w:rsid w:val="00AB0F7D"/>
    <w:rsid w:val="00AB18E1"/>
    <w:rsid w:val="00AB3F2E"/>
    <w:rsid w:val="00AB4CC8"/>
    <w:rsid w:val="00AB768B"/>
    <w:rsid w:val="00AC08B1"/>
    <w:rsid w:val="00AC3CE7"/>
    <w:rsid w:val="00AC5676"/>
    <w:rsid w:val="00AD4114"/>
    <w:rsid w:val="00AD48BD"/>
    <w:rsid w:val="00AD4CF0"/>
    <w:rsid w:val="00AD5435"/>
    <w:rsid w:val="00AD6E41"/>
    <w:rsid w:val="00AE1ED3"/>
    <w:rsid w:val="00AE1EE4"/>
    <w:rsid w:val="00AE7831"/>
    <w:rsid w:val="00AF281D"/>
    <w:rsid w:val="00AF484A"/>
    <w:rsid w:val="00AF78D7"/>
    <w:rsid w:val="00AF7958"/>
    <w:rsid w:val="00B01664"/>
    <w:rsid w:val="00B02958"/>
    <w:rsid w:val="00B05E41"/>
    <w:rsid w:val="00B072AB"/>
    <w:rsid w:val="00B11A1C"/>
    <w:rsid w:val="00B21D53"/>
    <w:rsid w:val="00B26801"/>
    <w:rsid w:val="00B36C88"/>
    <w:rsid w:val="00B415EA"/>
    <w:rsid w:val="00B46AB9"/>
    <w:rsid w:val="00B532B8"/>
    <w:rsid w:val="00B53497"/>
    <w:rsid w:val="00B609BD"/>
    <w:rsid w:val="00B64E1A"/>
    <w:rsid w:val="00B6689A"/>
    <w:rsid w:val="00B66B08"/>
    <w:rsid w:val="00B701DC"/>
    <w:rsid w:val="00B7424E"/>
    <w:rsid w:val="00B7566B"/>
    <w:rsid w:val="00B75FE8"/>
    <w:rsid w:val="00B83C17"/>
    <w:rsid w:val="00B84117"/>
    <w:rsid w:val="00B841B9"/>
    <w:rsid w:val="00B91632"/>
    <w:rsid w:val="00B95308"/>
    <w:rsid w:val="00BA33B4"/>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1A7"/>
    <w:rsid w:val="00C21AE6"/>
    <w:rsid w:val="00C24782"/>
    <w:rsid w:val="00C25072"/>
    <w:rsid w:val="00C30DD0"/>
    <w:rsid w:val="00C36AB4"/>
    <w:rsid w:val="00C40DDD"/>
    <w:rsid w:val="00C418E5"/>
    <w:rsid w:val="00C47C7B"/>
    <w:rsid w:val="00C508A6"/>
    <w:rsid w:val="00C51F82"/>
    <w:rsid w:val="00C52170"/>
    <w:rsid w:val="00C57A26"/>
    <w:rsid w:val="00C652D4"/>
    <w:rsid w:val="00C66455"/>
    <w:rsid w:val="00C7023F"/>
    <w:rsid w:val="00C75371"/>
    <w:rsid w:val="00C75432"/>
    <w:rsid w:val="00C80B0D"/>
    <w:rsid w:val="00C83AE1"/>
    <w:rsid w:val="00C86A16"/>
    <w:rsid w:val="00C87E4E"/>
    <w:rsid w:val="00C93604"/>
    <w:rsid w:val="00C9472C"/>
    <w:rsid w:val="00C97B15"/>
    <w:rsid w:val="00CA0093"/>
    <w:rsid w:val="00CA1D95"/>
    <w:rsid w:val="00CA272E"/>
    <w:rsid w:val="00CA5BE9"/>
    <w:rsid w:val="00CA66DB"/>
    <w:rsid w:val="00CB1DE4"/>
    <w:rsid w:val="00CB2750"/>
    <w:rsid w:val="00CC42CD"/>
    <w:rsid w:val="00CD25AE"/>
    <w:rsid w:val="00CD5936"/>
    <w:rsid w:val="00CD717B"/>
    <w:rsid w:val="00CE211F"/>
    <w:rsid w:val="00CE4485"/>
    <w:rsid w:val="00CE6BB7"/>
    <w:rsid w:val="00CE7FBC"/>
    <w:rsid w:val="00CF27F6"/>
    <w:rsid w:val="00D0135C"/>
    <w:rsid w:val="00D027D0"/>
    <w:rsid w:val="00D0426C"/>
    <w:rsid w:val="00D06353"/>
    <w:rsid w:val="00D065AE"/>
    <w:rsid w:val="00D12824"/>
    <w:rsid w:val="00D2037E"/>
    <w:rsid w:val="00D2073B"/>
    <w:rsid w:val="00D22509"/>
    <w:rsid w:val="00D23BED"/>
    <w:rsid w:val="00D2502C"/>
    <w:rsid w:val="00D26028"/>
    <w:rsid w:val="00D26ECE"/>
    <w:rsid w:val="00D3026E"/>
    <w:rsid w:val="00D34A61"/>
    <w:rsid w:val="00D358C3"/>
    <w:rsid w:val="00D41BB0"/>
    <w:rsid w:val="00D42A4E"/>
    <w:rsid w:val="00D45E53"/>
    <w:rsid w:val="00D467D9"/>
    <w:rsid w:val="00D46A26"/>
    <w:rsid w:val="00D5777F"/>
    <w:rsid w:val="00D57ABC"/>
    <w:rsid w:val="00D613BE"/>
    <w:rsid w:val="00D62E92"/>
    <w:rsid w:val="00D70FDC"/>
    <w:rsid w:val="00D713F7"/>
    <w:rsid w:val="00D73F16"/>
    <w:rsid w:val="00D819AE"/>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AEC"/>
    <w:rsid w:val="00DB5C04"/>
    <w:rsid w:val="00DC1587"/>
    <w:rsid w:val="00DC16AB"/>
    <w:rsid w:val="00DC3014"/>
    <w:rsid w:val="00DC4715"/>
    <w:rsid w:val="00DC6D1D"/>
    <w:rsid w:val="00DC7DDE"/>
    <w:rsid w:val="00DD64D1"/>
    <w:rsid w:val="00DE182A"/>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17889"/>
    <w:rsid w:val="00E2016F"/>
    <w:rsid w:val="00E20AC0"/>
    <w:rsid w:val="00E24D40"/>
    <w:rsid w:val="00E33D57"/>
    <w:rsid w:val="00E346C8"/>
    <w:rsid w:val="00E35ACD"/>
    <w:rsid w:val="00E36590"/>
    <w:rsid w:val="00E37047"/>
    <w:rsid w:val="00E41966"/>
    <w:rsid w:val="00E438FF"/>
    <w:rsid w:val="00E50A0B"/>
    <w:rsid w:val="00E51A05"/>
    <w:rsid w:val="00E53D1C"/>
    <w:rsid w:val="00E55A2D"/>
    <w:rsid w:val="00E56279"/>
    <w:rsid w:val="00E56AB2"/>
    <w:rsid w:val="00E601D6"/>
    <w:rsid w:val="00E604B0"/>
    <w:rsid w:val="00E609D5"/>
    <w:rsid w:val="00E71BB3"/>
    <w:rsid w:val="00E7245A"/>
    <w:rsid w:val="00E7356B"/>
    <w:rsid w:val="00E76692"/>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09E"/>
    <w:rsid w:val="00EF399A"/>
    <w:rsid w:val="00EF58F8"/>
    <w:rsid w:val="00EF64BC"/>
    <w:rsid w:val="00F01D0E"/>
    <w:rsid w:val="00F03487"/>
    <w:rsid w:val="00F056C8"/>
    <w:rsid w:val="00F06077"/>
    <w:rsid w:val="00F07111"/>
    <w:rsid w:val="00F12067"/>
    <w:rsid w:val="00F13354"/>
    <w:rsid w:val="00F22CD5"/>
    <w:rsid w:val="00F23391"/>
    <w:rsid w:val="00F25394"/>
    <w:rsid w:val="00F25576"/>
    <w:rsid w:val="00F26176"/>
    <w:rsid w:val="00F27556"/>
    <w:rsid w:val="00F30DDA"/>
    <w:rsid w:val="00F318A0"/>
    <w:rsid w:val="00F34A32"/>
    <w:rsid w:val="00F45A93"/>
    <w:rsid w:val="00F5257D"/>
    <w:rsid w:val="00F543AA"/>
    <w:rsid w:val="00F553F0"/>
    <w:rsid w:val="00F56735"/>
    <w:rsid w:val="00F56A75"/>
    <w:rsid w:val="00F6009E"/>
    <w:rsid w:val="00F61F0D"/>
    <w:rsid w:val="00F62D75"/>
    <w:rsid w:val="00F638C1"/>
    <w:rsid w:val="00F64BD9"/>
    <w:rsid w:val="00F65426"/>
    <w:rsid w:val="00F65FD8"/>
    <w:rsid w:val="00F665AF"/>
    <w:rsid w:val="00F72972"/>
    <w:rsid w:val="00F729DF"/>
    <w:rsid w:val="00F73DC2"/>
    <w:rsid w:val="00F80EBE"/>
    <w:rsid w:val="00F826F3"/>
    <w:rsid w:val="00F837A6"/>
    <w:rsid w:val="00F853A3"/>
    <w:rsid w:val="00F8745B"/>
    <w:rsid w:val="00F87F7E"/>
    <w:rsid w:val="00F96350"/>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1CA4"/>
    <w:rsid w:val="00FD2DF6"/>
    <w:rsid w:val="00FD4106"/>
    <w:rsid w:val="00FE217E"/>
    <w:rsid w:val="00FE2457"/>
    <w:rsid w:val="00FF0886"/>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9455C6"/>
    <w:rsid w:val="14CFEAF3"/>
    <w:rsid w:val="1530A9DC"/>
    <w:rsid w:val="15BFE8C7"/>
    <w:rsid w:val="15F13C9F"/>
    <w:rsid w:val="15F36ED7"/>
    <w:rsid w:val="1628698F"/>
    <w:rsid w:val="1637E367"/>
    <w:rsid w:val="16EE0173"/>
    <w:rsid w:val="174F47ED"/>
    <w:rsid w:val="176D27B6"/>
    <w:rsid w:val="17D776FB"/>
    <w:rsid w:val="1812BDF7"/>
    <w:rsid w:val="189F4623"/>
    <w:rsid w:val="18EA2EAF"/>
    <w:rsid w:val="193422AD"/>
    <w:rsid w:val="197F151F"/>
    <w:rsid w:val="198C9AE4"/>
    <w:rsid w:val="19AFE486"/>
    <w:rsid w:val="19B3164C"/>
    <w:rsid w:val="1A337354"/>
    <w:rsid w:val="1A4FC86D"/>
    <w:rsid w:val="1AA89237"/>
    <w:rsid w:val="1B487F15"/>
    <w:rsid w:val="1B9DCEF8"/>
    <w:rsid w:val="1BAE5C27"/>
    <w:rsid w:val="1BB776A2"/>
    <w:rsid w:val="1BE566C2"/>
    <w:rsid w:val="1C00A652"/>
    <w:rsid w:val="1C4DF02A"/>
    <w:rsid w:val="1C4EA865"/>
    <w:rsid w:val="1CA1A1BD"/>
    <w:rsid w:val="1CC80DDC"/>
    <w:rsid w:val="1D034B5D"/>
    <w:rsid w:val="1D234829"/>
    <w:rsid w:val="1D3FA4B4"/>
    <w:rsid w:val="1D4F25C2"/>
    <w:rsid w:val="1D507CA3"/>
    <w:rsid w:val="1D743260"/>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B579E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7C19A5"/>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4F8431E"/>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067EE"/>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1F1A22"/>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4FF74B6E"/>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3C75190"/>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9658BC"/>
    <w:rsid w:val="5AD0167F"/>
    <w:rsid w:val="5ADD14E4"/>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B56E8E"/>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B590E"/>
    <w:rsid w:val="6DBFE5E2"/>
    <w:rsid w:val="6E4A0A40"/>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EA0A96"/>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4C37BA"/>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uiPriority w:val="1"/>
  </w:style>
  <w:style w:type="table" w:default="1" w:styleId="69">
    <w:name w:val="Normal Table"/>
    <w:semiHidden/>
    <w:unhideWhenUsed/>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1"/>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qFormat/>
    <w:uiPriority w:val="0"/>
    <w:rPr>
      <w:rFonts w:ascii="Times New Roman" w:hAnsi="Times New Roman" w:eastAsia="Arial" w:cs="Times New Roman"/>
      <w:sz w:val="18"/>
      <w:szCs w:val="20"/>
      <w:lang w:val="en-GB" w:eastAsia="zh-CN"/>
    </w:rPr>
  </w:style>
  <w:style w:type="paragraph" w:customStyle="1" w:styleId="124">
    <w:name w:val="Bullets"/>
    <w:basedOn w:val="1"/>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uiPriority w:val="49"/>
    <w:rPr>
      <w:rFonts w:ascii="Times New Roman" w:hAnsi="Times New Roman"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uiPriority w:val="0"/>
    <w:rPr>
      <w:rFonts w:hint="default" w:ascii="CambriaMath" w:hAnsi="CambriaMath"/>
      <w:color w:val="000000"/>
      <w:sz w:val="20"/>
      <w:szCs w:val="20"/>
    </w:rPr>
  </w:style>
  <w:style w:type="character" w:customStyle="1" w:styleId="173">
    <w:name w:val="tgt1"/>
    <w:basedOn w:val="71"/>
    <w:uiPriority w:val="0"/>
  </w:style>
  <w:style w:type="table" w:customStyle="1" w:styleId="174">
    <w:name w:val="网格表 5 深色 - 着色 51"/>
    <w:basedOn w:val="69"/>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uiPriority w:val="0"/>
    <w:rPr>
      <w:rFonts w:ascii="Times New Roman" w:hAnsi="Times New Roman" w:eastAsia="Times New Roman" w:cs="Times New Roman"/>
      <w:sz w:val="20"/>
      <w:szCs w:val="20"/>
      <w:lang w:val="en-GB"/>
    </w:rPr>
  </w:style>
  <w:style w:type="table" w:customStyle="1" w:styleId="176">
    <w:name w:val="网格表 5 深色 - 着色 11"/>
    <w:basedOn w:val="69"/>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x_msonormal"/>
    <w:basedOn w:val="1"/>
    <w:qFormat/>
    <w:uiPriority w:val="0"/>
    <w:pPr>
      <w:spacing w:before="100" w:beforeAutospacing="1" w:after="100" w:afterAutospacing="1" w:line="240" w:lineRule="auto"/>
    </w:pPr>
    <w:rPr>
      <w:rFonts w:ascii="Calibri" w:hAnsi="Calibri" w:cs="Calibri" w:eastAsiaTheme="minorHAnsi"/>
      <w:lang w:val="en-GB" w:eastAsia="en-GB"/>
    </w:rPr>
  </w:style>
  <w:style w:type="character" w:customStyle="1" w:styleId="186">
    <w:name w:val="列出段落 字符"/>
    <w:basedOn w:val="71"/>
    <w:link w:val="187"/>
    <w:uiPriority w:val="0"/>
    <w:rPr>
      <w:rFonts w:hint="default" w:ascii="Times New Roman" w:hAnsi="Times New Roman" w:cs="Times New Roman"/>
      <w:sz w:val="22"/>
    </w:rPr>
  </w:style>
  <w:style w:type="paragraph" w:customStyle="1" w:styleId="187">
    <w:name w:val="列出段落1"/>
    <w:basedOn w:val="1"/>
    <w:link w:val="186"/>
    <w:uiPriority w:val="0"/>
    <w:pPr>
      <w:widowControl w:val="0"/>
      <w:adjustRightInd w:val="0"/>
      <w:snapToGrid w:val="0"/>
      <w:spacing w:before="30" w:beforeLines="30" w:after="0" w:line="60" w:lineRule="atLeast"/>
      <w:ind w:firstLine="420" w:firstLineChars="200"/>
      <w:jc w:val="both"/>
    </w:pPr>
    <w:rPr>
      <w:rFonts w:ascii="Times New Roman" w:hAnsi="Times New Roman" w:eastAsia="宋体" w:cs="Times New Roman"/>
      <w:kern w:val="2"/>
      <w:lang w:eastAsia="zh-CN"/>
    </w:rPr>
  </w:style>
  <w:style w:type="paragraph" w:customStyle="1" w:styleId="188">
    <w:name w:val="列出段落2"/>
    <w:basedOn w:val="1"/>
    <w:uiPriority w:val="0"/>
    <w:pPr>
      <w:spacing w:before="100" w:beforeAutospacing="1" w:after="100" w:afterAutospacing="1" w:line="240" w:lineRule="auto"/>
      <w:ind w:left="720" w:hanging="360"/>
    </w:pPr>
    <w:rPr>
      <w:rFonts w:ascii="Times New Roman" w:hAnsi="Times New Roman" w:eastAsia="Calibri" w:cs="Times New Roman"/>
      <w:sz w:val="24"/>
      <w:szCs w:val="24"/>
      <w:lang w:eastAsia="zh-CN"/>
    </w:rPr>
  </w:style>
  <w:style w:type="character" w:customStyle="1" w:styleId="189">
    <w:name w:val="15"/>
    <w:basedOn w:val="71"/>
    <w:uiPriority w:val="0"/>
    <w:rPr>
      <w:rFonts w:hint="default" w:ascii="Times New Roman" w:hAnsi="Times New Roman" w:cs="Times New Roman"/>
      <w:color w:val="0563C1"/>
      <w:u w:val="single"/>
    </w:rPr>
  </w:style>
  <w:style w:type="paragraph" w:customStyle="1" w:styleId="190">
    <w:name w:val="正文1"/>
    <w:uiPriority w:val="0"/>
    <w:pPr>
      <w:jc w:val="both"/>
    </w:pPr>
    <w:rPr>
      <w:rFonts w:ascii="Times New Roman" w:hAnsi="Times New Roman" w:eastAsia="宋体" w:cs="Times New Roman"/>
      <w:kern w:val="2"/>
      <w:sz w:val="21"/>
      <w:szCs w:val="21"/>
      <w:lang w:val="en-US" w:eastAsia="zh-CN" w:bidi="ar-SA"/>
    </w:rPr>
  </w:style>
  <w:style w:type="paragraph" w:customStyle="1" w:styleId="191">
    <w:name w:val="正文2"/>
    <w:basedOn w:val="1"/>
    <w:uiPriority w:val="0"/>
    <w:pPr>
      <w:spacing w:after="0" w:line="240" w:lineRule="auto"/>
      <w:jc w:val="both"/>
    </w:pPr>
    <w:rPr>
      <w:rFonts w:ascii="Times New Roman" w:hAnsi="Times New Roman" w:eastAsia="宋体" w:cs="Times New Roman"/>
      <w:kern w:val="2"/>
      <w:sz w:val="21"/>
      <w:szCs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4BFCFE-5725-41D5-937D-E3F03109B48F}">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EC3856BB-FA30-4221-A957-89C7D07F3980}">
  <ds:schemaRefs/>
</ds:datastoreItem>
</file>

<file path=customXml/itemProps4.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2879</Words>
  <Characters>14560</Characters>
  <Lines>128</Lines>
  <Paragraphs>36</Paragraphs>
  <TotalTime>1656</TotalTime>
  <ScaleCrop>false</ScaleCrop>
  <LinksUpToDate>false</LinksUpToDate>
  <CharactersWithSpaces>18005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yiwei1.deng</cp:lastModifiedBy>
  <dcterms:modified xsi:type="dcterms:W3CDTF">2023-02-17T09:17:09Z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6AD315B09DBC44648B73B9EB20EA76F0</vt:lpwstr>
  </property>
</Properties>
</file>